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Arial Narrow" w:hAnsi="Arial Narrow" w:eastAsia="方正小标宋_GBK" w:cs="方正小标宋_GBK"/>
          <w:color w:val="auto"/>
          <w:sz w:val="44"/>
          <w:szCs w:val="44"/>
          <w:highlight w:val="none"/>
        </w:rPr>
      </w:pPr>
      <w:r>
        <w:rPr>
          <w:rFonts w:hint="eastAsia" w:ascii="Arial Narrow" w:hAnsi="Arial Narrow" w:eastAsia="方正小标宋_GBK" w:cs="方正小标宋_GBK"/>
          <w:color w:val="auto"/>
          <w:sz w:val="44"/>
          <w:szCs w:val="44"/>
          <w:highlight w:val="none"/>
        </w:rPr>
        <w:t>湖北省政协办公厅</w:t>
      </w:r>
    </w:p>
    <w:p>
      <w:pPr>
        <w:spacing w:line="600" w:lineRule="exact"/>
        <w:jc w:val="center"/>
        <w:outlineLvl w:val="0"/>
        <w:rPr>
          <w:rFonts w:ascii="Arial Narrow" w:hAnsi="Arial Narrow" w:eastAsia="仿宋" w:cs="Times New Roman"/>
          <w:color w:val="auto"/>
          <w:sz w:val="44"/>
          <w:szCs w:val="44"/>
          <w:highlight w:val="none"/>
        </w:rPr>
      </w:pPr>
      <w:r>
        <w:rPr>
          <w:rFonts w:ascii="Arial Narrow" w:hAnsi="Arial Narrow" w:eastAsia="方正小标宋_GBK" w:cs="方正小标宋_GBK"/>
          <w:color w:val="auto"/>
          <w:sz w:val="44"/>
          <w:szCs w:val="44"/>
          <w:highlight w:val="none"/>
        </w:rPr>
        <w:t>2020</w:t>
      </w:r>
      <w:bookmarkStart w:id="0" w:name="_GoBack"/>
      <w:bookmarkEnd w:id="0"/>
      <w:r>
        <w:rPr>
          <w:rFonts w:ascii="Arial Narrow" w:hAnsi="Arial Narrow" w:eastAsia="方正小标宋_GBK" w:cs="方正小标宋_GBK"/>
          <w:color w:val="auto"/>
          <w:sz w:val="44"/>
          <w:szCs w:val="44"/>
          <w:highlight w:val="none"/>
        </w:rPr>
        <w:t>年度部门整体绩效自评结果</w:t>
      </w:r>
    </w:p>
    <w:p>
      <w:pPr>
        <w:jc w:val="center"/>
        <w:rPr>
          <w:rFonts w:ascii="Arial Narrow" w:hAnsi="Arial Narrow" w:eastAsia="仿宋" w:cs="Times New Roman"/>
          <w:color w:val="auto"/>
          <w:sz w:val="32"/>
          <w:szCs w:val="32"/>
          <w:highlight w:val="none"/>
        </w:rPr>
      </w:pPr>
    </w:p>
    <w:p>
      <w:pPr>
        <w:ind w:firstLine="640" w:firstLineChars="200"/>
        <w:outlineLvl w:val="0"/>
        <w:rPr>
          <w:rFonts w:ascii="Arial Narrow" w:hAnsi="Arial Narrow" w:eastAsia="黑体" w:cs="Times New Roman"/>
          <w:color w:val="auto"/>
          <w:sz w:val="32"/>
          <w:szCs w:val="32"/>
          <w:highlight w:val="none"/>
        </w:rPr>
      </w:pPr>
      <w:r>
        <w:rPr>
          <w:rFonts w:ascii="Arial Narrow" w:hAnsi="Arial Narrow" w:eastAsia="黑体" w:cs="黑体"/>
          <w:color w:val="auto"/>
          <w:sz w:val="32"/>
          <w:szCs w:val="32"/>
          <w:highlight w:val="none"/>
        </w:rPr>
        <w:t>一、自评结论</w:t>
      </w:r>
    </w:p>
    <w:p>
      <w:pPr>
        <w:ind w:firstLine="640" w:firstLineChars="200"/>
        <w:outlineLvl w:val="1"/>
        <w:rPr>
          <w:rFonts w:ascii="Arial Narrow" w:hAnsi="Arial Narrow" w:eastAsia="楷体_GB2312" w:cs="楷体_GB2312"/>
          <w:color w:val="auto"/>
          <w:sz w:val="32"/>
          <w:szCs w:val="32"/>
          <w:highlight w:val="none"/>
          <w:shd w:val="clear" w:color="auto" w:fill="F8FAFD" w:themeFill="background1"/>
        </w:rPr>
      </w:pPr>
      <w:r>
        <w:rPr>
          <w:rFonts w:ascii="Arial Narrow" w:hAnsi="Arial Narrow" w:eastAsia="楷体_GB2312" w:cs="楷体_GB2312"/>
          <w:color w:val="auto"/>
          <w:sz w:val="32"/>
          <w:szCs w:val="32"/>
          <w:highlight w:val="none"/>
          <w:shd w:val="clear" w:color="auto" w:fill="F8FAFD" w:themeFill="background1"/>
        </w:rPr>
        <w:t>（一）部门整体绩效自评得分</w:t>
      </w:r>
    </w:p>
    <w:p>
      <w:pPr>
        <w:spacing w:after="156" w:afterLines="50"/>
        <w:ind w:firstLine="640" w:firstLineChars="200"/>
        <w:rPr>
          <w:rFonts w:ascii="Arial Narrow" w:hAnsi="Arial Narrow" w:eastAsia="仿宋_GB2312" w:cs="仿宋_GB2312"/>
          <w:color w:val="auto"/>
          <w:sz w:val="32"/>
          <w:szCs w:val="32"/>
          <w:highlight w:val="none"/>
        </w:rPr>
      </w:pPr>
      <w:r>
        <w:rPr>
          <w:rFonts w:hint="eastAsia" w:ascii="Arial Narrow" w:hAnsi="Arial Narrow" w:eastAsia="仿宋_GB2312" w:cs="Times New Roman"/>
          <w:color w:val="auto"/>
          <w:sz w:val="32"/>
          <w:szCs w:val="32"/>
          <w:highlight w:val="none"/>
        </w:rPr>
        <w:t>湖北省政协办公厅</w:t>
      </w:r>
      <w:r>
        <w:rPr>
          <w:rFonts w:ascii="Arial Narrow" w:hAnsi="Arial Narrow" w:eastAsia="仿宋_GB2312" w:cs="Times New Roman"/>
          <w:color w:val="auto"/>
          <w:sz w:val="32"/>
          <w:szCs w:val="32"/>
          <w:highlight w:val="none"/>
        </w:rPr>
        <w:t>（以下简称“</w:t>
      </w:r>
      <w:r>
        <w:rPr>
          <w:rFonts w:hint="eastAsia" w:ascii="Arial Narrow" w:hAnsi="Arial Narrow" w:eastAsia="仿宋_GB2312" w:cs="Times New Roman"/>
          <w:color w:val="auto"/>
          <w:sz w:val="32"/>
          <w:szCs w:val="32"/>
          <w:highlight w:val="none"/>
        </w:rPr>
        <w:t>湖北省政协办公厅</w:t>
      </w:r>
      <w:r>
        <w:rPr>
          <w:rFonts w:ascii="Arial Narrow" w:hAnsi="Arial Narrow" w:eastAsia="仿宋_GB2312" w:cs="Times New Roman"/>
          <w:color w:val="auto"/>
          <w:sz w:val="32"/>
          <w:szCs w:val="32"/>
          <w:highlight w:val="none"/>
        </w:rPr>
        <w:t>”）2020年度</w:t>
      </w:r>
      <w:r>
        <w:rPr>
          <w:rFonts w:ascii="Arial Narrow" w:hAnsi="Arial Narrow" w:eastAsia="仿宋_GB2312" w:cs="仿宋_GB2312"/>
          <w:color w:val="auto"/>
          <w:sz w:val="32"/>
          <w:szCs w:val="32"/>
          <w:highlight w:val="none"/>
        </w:rPr>
        <w:t>部门整体绩效自评综合得分为</w:t>
      </w:r>
      <w:r>
        <w:rPr>
          <w:rFonts w:hint="eastAsia" w:ascii="Arial Narrow" w:hAnsi="Arial Narrow" w:eastAsia="仿宋_GB2312" w:cs="仿宋_GB2312"/>
          <w:color w:val="auto"/>
          <w:sz w:val="32"/>
          <w:szCs w:val="32"/>
          <w:highlight w:val="none"/>
          <w:lang w:eastAsia="zh-CN"/>
        </w:rPr>
        <w:t>92.</w:t>
      </w:r>
      <w:r>
        <w:rPr>
          <w:rFonts w:hint="eastAsia" w:ascii="Arial Narrow" w:hAnsi="Arial Narrow" w:eastAsia="仿宋_GB2312" w:cs="仿宋_GB2312"/>
          <w:color w:val="auto"/>
          <w:sz w:val="32"/>
          <w:szCs w:val="32"/>
          <w:highlight w:val="none"/>
          <w:lang w:val="en-US" w:eastAsia="zh-CN"/>
        </w:rPr>
        <w:t>7</w:t>
      </w:r>
      <w:r>
        <w:rPr>
          <w:rFonts w:hint="eastAsia" w:ascii="Arial Narrow" w:hAnsi="Arial Narrow" w:eastAsia="仿宋_GB2312" w:cs="仿宋_GB2312"/>
          <w:color w:val="auto"/>
          <w:sz w:val="32"/>
          <w:szCs w:val="32"/>
          <w:highlight w:val="none"/>
          <w:lang w:eastAsia="zh-CN"/>
        </w:rPr>
        <w:t>7</w:t>
      </w:r>
      <w:r>
        <w:rPr>
          <w:rFonts w:ascii="Arial Narrow" w:hAnsi="Arial Narrow" w:eastAsia="仿宋_GB2312" w:cs="仿宋_GB2312"/>
          <w:color w:val="auto"/>
          <w:sz w:val="32"/>
          <w:szCs w:val="32"/>
          <w:highlight w:val="none"/>
        </w:rPr>
        <w:t>分，各指标得分情况如下：</w:t>
      </w:r>
    </w:p>
    <w:tbl>
      <w:tblPr>
        <w:tblStyle w:val="10"/>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2"/>
        <w:gridCol w:w="1843"/>
        <w:gridCol w:w="2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3402" w:type="dxa"/>
            <w:vAlign w:val="center"/>
          </w:tcPr>
          <w:p>
            <w:pPr>
              <w:jc w:val="center"/>
              <w:rPr>
                <w:rFonts w:ascii="Arial Narrow" w:hAnsi="Arial Narrow" w:eastAsia="仿宋" w:cs="Times New Roman"/>
                <w:b/>
                <w:color w:val="auto"/>
                <w:sz w:val="28"/>
                <w:szCs w:val="28"/>
                <w:highlight w:val="none"/>
              </w:rPr>
            </w:pPr>
            <w:r>
              <w:rPr>
                <w:rFonts w:ascii="Arial Narrow" w:hAnsi="Arial Narrow" w:eastAsia="仿宋" w:cs="Times New Roman"/>
                <w:b/>
                <w:color w:val="auto"/>
                <w:sz w:val="28"/>
                <w:szCs w:val="28"/>
                <w:highlight w:val="none"/>
              </w:rPr>
              <w:t>评价准则</w:t>
            </w:r>
          </w:p>
        </w:tc>
        <w:tc>
          <w:tcPr>
            <w:tcW w:w="1843" w:type="dxa"/>
            <w:vAlign w:val="center"/>
          </w:tcPr>
          <w:p>
            <w:pPr>
              <w:jc w:val="center"/>
              <w:rPr>
                <w:rFonts w:ascii="Arial Narrow" w:hAnsi="Arial Narrow" w:eastAsia="仿宋" w:cs="Times New Roman"/>
                <w:b/>
                <w:color w:val="auto"/>
                <w:sz w:val="28"/>
                <w:szCs w:val="28"/>
                <w:highlight w:val="none"/>
              </w:rPr>
            </w:pPr>
            <w:r>
              <w:rPr>
                <w:rFonts w:ascii="Arial Narrow" w:hAnsi="Arial Narrow" w:eastAsia="仿宋" w:cs="Times New Roman"/>
                <w:b/>
                <w:color w:val="auto"/>
                <w:sz w:val="28"/>
                <w:szCs w:val="28"/>
                <w:highlight w:val="none"/>
              </w:rPr>
              <w:t>权重</w:t>
            </w:r>
          </w:p>
        </w:tc>
        <w:tc>
          <w:tcPr>
            <w:tcW w:w="2602" w:type="dxa"/>
            <w:vAlign w:val="center"/>
          </w:tcPr>
          <w:p>
            <w:pPr>
              <w:jc w:val="center"/>
              <w:rPr>
                <w:rFonts w:ascii="Arial Narrow" w:hAnsi="Arial Narrow" w:eastAsia="仿宋" w:cs="Times New Roman"/>
                <w:b/>
                <w:color w:val="auto"/>
                <w:sz w:val="28"/>
                <w:szCs w:val="28"/>
                <w:highlight w:val="none"/>
              </w:rPr>
            </w:pPr>
            <w:r>
              <w:rPr>
                <w:rFonts w:ascii="Arial Narrow" w:hAnsi="Arial Narrow" w:eastAsia="仿宋" w:cs="Times New Roman"/>
                <w:b/>
                <w:color w:val="auto"/>
                <w:sz w:val="28"/>
                <w:szCs w:val="28"/>
                <w:highlight w:val="none"/>
              </w:rPr>
              <w:t>评价得分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3402" w:type="dxa"/>
            <w:vAlign w:val="center"/>
          </w:tcPr>
          <w:p>
            <w:pPr>
              <w:jc w:val="center"/>
              <w:rPr>
                <w:rFonts w:ascii="Arial Narrow" w:hAnsi="Arial Narrow" w:eastAsia="仿宋" w:cs="Times New Roman"/>
                <w:color w:val="auto"/>
                <w:sz w:val="28"/>
                <w:szCs w:val="28"/>
                <w:highlight w:val="none"/>
              </w:rPr>
            </w:pPr>
            <w:r>
              <w:rPr>
                <w:rFonts w:ascii="Arial Narrow" w:hAnsi="Arial Narrow" w:eastAsia="仿宋" w:cs="Times New Roman"/>
                <w:color w:val="auto"/>
                <w:sz w:val="28"/>
                <w:szCs w:val="28"/>
                <w:highlight w:val="none"/>
              </w:rPr>
              <w:t>预算执行情况</w:t>
            </w:r>
          </w:p>
        </w:tc>
        <w:tc>
          <w:tcPr>
            <w:tcW w:w="1843" w:type="dxa"/>
            <w:vAlign w:val="center"/>
          </w:tcPr>
          <w:p>
            <w:pPr>
              <w:jc w:val="center"/>
              <w:rPr>
                <w:rFonts w:ascii="Arial Narrow" w:hAnsi="Arial Narrow" w:eastAsia="仿宋" w:cs="Times New Roman"/>
                <w:color w:val="auto"/>
                <w:sz w:val="28"/>
                <w:szCs w:val="28"/>
                <w:highlight w:val="none"/>
              </w:rPr>
            </w:pPr>
            <w:r>
              <w:rPr>
                <w:rFonts w:ascii="Arial Narrow" w:hAnsi="Arial Narrow" w:eastAsia="仿宋" w:cs="Times New Roman"/>
                <w:color w:val="auto"/>
                <w:sz w:val="28"/>
                <w:szCs w:val="28"/>
                <w:highlight w:val="none"/>
              </w:rPr>
              <w:t>20</w:t>
            </w:r>
          </w:p>
        </w:tc>
        <w:tc>
          <w:tcPr>
            <w:tcW w:w="2602" w:type="dxa"/>
            <w:vAlign w:val="center"/>
          </w:tcPr>
          <w:p>
            <w:pPr>
              <w:jc w:val="center"/>
              <w:rPr>
                <w:rFonts w:ascii="Arial Narrow" w:hAnsi="Arial Narrow" w:eastAsia="仿宋" w:cs="Times New Roman"/>
                <w:color w:val="auto"/>
                <w:sz w:val="28"/>
                <w:szCs w:val="28"/>
                <w:highlight w:val="none"/>
              </w:rPr>
            </w:pPr>
            <w:r>
              <w:rPr>
                <w:rFonts w:hint="eastAsia" w:ascii="Arial Narrow" w:hAnsi="Arial Narrow" w:eastAsia="仿宋" w:cs="Times New Roman"/>
                <w:color w:val="auto"/>
                <w:sz w:val="28"/>
                <w:szCs w:val="28"/>
                <w:highlight w:val="none"/>
              </w:rPr>
              <w:t>17.92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jc w:val="center"/>
        </w:trPr>
        <w:tc>
          <w:tcPr>
            <w:tcW w:w="3402" w:type="dxa"/>
            <w:vAlign w:val="center"/>
          </w:tcPr>
          <w:p>
            <w:pPr>
              <w:jc w:val="center"/>
              <w:rPr>
                <w:rFonts w:ascii="Arial Narrow" w:hAnsi="Arial Narrow" w:eastAsia="仿宋" w:cs="Times New Roman"/>
                <w:color w:val="auto"/>
                <w:sz w:val="28"/>
                <w:szCs w:val="28"/>
                <w:highlight w:val="none"/>
              </w:rPr>
            </w:pPr>
            <w:r>
              <w:rPr>
                <w:rFonts w:ascii="Arial Narrow" w:hAnsi="Arial Narrow" w:eastAsia="仿宋" w:cs="Times New Roman"/>
                <w:color w:val="auto"/>
                <w:sz w:val="28"/>
                <w:szCs w:val="28"/>
                <w:highlight w:val="none"/>
              </w:rPr>
              <w:t>产出指标</w:t>
            </w:r>
          </w:p>
        </w:tc>
        <w:tc>
          <w:tcPr>
            <w:tcW w:w="1843" w:type="dxa"/>
            <w:vAlign w:val="center"/>
          </w:tcPr>
          <w:p>
            <w:pPr>
              <w:jc w:val="center"/>
              <w:rPr>
                <w:rFonts w:ascii="Arial Narrow" w:hAnsi="Arial Narrow" w:eastAsia="仿宋" w:cs="Times New Roman"/>
                <w:color w:val="auto"/>
                <w:sz w:val="28"/>
                <w:szCs w:val="28"/>
                <w:highlight w:val="none"/>
              </w:rPr>
            </w:pPr>
            <w:r>
              <w:rPr>
                <w:rFonts w:ascii="Arial Narrow" w:hAnsi="Arial Narrow" w:eastAsia="仿宋" w:cs="Times New Roman"/>
                <w:color w:val="auto"/>
                <w:sz w:val="28"/>
                <w:szCs w:val="28"/>
                <w:highlight w:val="none"/>
              </w:rPr>
              <w:t>40</w:t>
            </w:r>
          </w:p>
        </w:tc>
        <w:tc>
          <w:tcPr>
            <w:tcW w:w="2602" w:type="dxa"/>
            <w:vAlign w:val="center"/>
          </w:tcPr>
          <w:p>
            <w:pPr>
              <w:jc w:val="center"/>
              <w:rPr>
                <w:rFonts w:hint="default" w:ascii="Arial Narrow" w:hAnsi="Arial Narrow" w:eastAsia="仿宋" w:cs="Times New Roman"/>
                <w:color w:val="auto"/>
                <w:sz w:val="28"/>
                <w:szCs w:val="28"/>
                <w:highlight w:val="none"/>
                <w:lang w:val="en-US" w:eastAsia="zh-CN"/>
              </w:rPr>
            </w:pPr>
            <w:r>
              <w:rPr>
                <w:rFonts w:hint="eastAsia" w:ascii="Arial Narrow" w:hAnsi="Arial Narrow" w:eastAsia="仿宋" w:cs="Times New Roman"/>
                <w:color w:val="auto"/>
                <w:sz w:val="28"/>
                <w:szCs w:val="28"/>
                <w:highlight w:val="none"/>
                <w:lang w:val="en-US" w:eastAsia="zh-CN"/>
              </w:rPr>
              <w:t>34.85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4" w:hRule="atLeast"/>
          <w:jc w:val="center"/>
        </w:trPr>
        <w:tc>
          <w:tcPr>
            <w:tcW w:w="3402" w:type="dxa"/>
            <w:vAlign w:val="center"/>
          </w:tcPr>
          <w:p>
            <w:pPr>
              <w:jc w:val="center"/>
              <w:rPr>
                <w:rFonts w:ascii="Arial Narrow" w:hAnsi="Arial Narrow" w:eastAsia="仿宋" w:cs="Times New Roman"/>
                <w:color w:val="auto"/>
                <w:sz w:val="28"/>
                <w:szCs w:val="28"/>
                <w:highlight w:val="none"/>
              </w:rPr>
            </w:pPr>
            <w:r>
              <w:rPr>
                <w:rFonts w:ascii="Arial Narrow" w:hAnsi="Arial Narrow" w:eastAsia="仿宋" w:cs="Times New Roman"/>
                <w:color w:val="auto"/>
                <w:sz w:val="28"/>
                <w:szCs w:val="28"/>
                <w:highlight w:val="none"/>
              </w:rPr>
              <w:t>效益指标</w:t>
            </w:r>
          </w:p>
        </w:tc>
        <w:tc>
          <w:tcPr>
            <w:tcW w:w="1843" w:type="dxa"/>
            <w:vAlign w:val="center"/>
          </w:tcPr>
          <w:p>
            <w:pPr>
              <w:jc w:val="center"/>
              <w:rPr>
                <w:rFonts w:ascii="Arial Narrow" w:hAnsi="Arial Narrow" w:eastAsia="仿宋" w:cs="Times New Roman"/>
                <w:color w:val="auto"/>
                <w:sz w:val="28"/>
                <w:szCs w:val="28"/>
                <w:highlight w:val="none"/>
              </w:rPr>
            </w:pPr>
            <w:r>
              <w:rPr>
                <w:rFonts w:ascii="Arial Narrow" w:hAnsi="Arial Narrow" w:eastAsia="仿宋" w:cs="Times New Roman"/>
                <w:color w:val="auto"/>
                <w:sz w:val="28"/>
                <w:szCs w:val="28"/>
                <w:highlight w:val="none"/>
              </w:rPr>
              <w:t>30</w:t>
            </w:r>
          </w:p>
        </w:tc>
        <w:tc>
          <w:tcPr>
            <w:tcW w:w="2602" w:type="dxa"/>
            <w:vAlign w:val="center"/>
          </w:tcPr>
          <w:p>
            <w:pPr>
              <w:jc w:val="center"/>
              <w:rPr>
                <w:rFonts w:ascii="Arial Narrow" w:hAnsi="Arial Narrow" w:eastAsia="仿宋" w:cs="Times New Roman"/>
                <w:color w:val="auto"/>
                <w:sz w:val="28"/>
                <w:szCs w:val="28"/>
                <w:highlight w:val="none"/>
              </w:rPr>
            </w:pPr>
            <w:r>
              <w:rPr>
                <w:rFonts w:hint="eastAsia" w:ascii="Arial Narrow" w:hAnsi="Arial Narrow" w:eastAsia="仿宋" w:cs="Times New Roman"/>
                <w:color w:val="auto"/>
                <w:sz w:val="28"/>
                <w:szCs w:val="28"/>
                <w:highlight w:val="none"/>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4" w:hRule="atLeast"/>
          <w:jc w:val="center"/>
        </w:trPr>
        <w:tc>
          <w:tcPr>
            <w:tcW w:w="3402" w:type="dxa"/>
            <w:vAlign w:val="center"/>
          </w:tcPr>
          <w:p>
            <w:pPr>
              <w:jc w:val="center"/>
              <w:rPr>
                <w:rFonts w:ascii="Arial Narrow" w:hAnsi="Arial Narrow" w:eastAsia="仿宋" w:cs="Times New Roman"/>
                <w:color w:val="auto"/>
                <w:sz w:val="28"/>
                <w:szCs w:val="28"/>
                <w:highlight w:val="none"/>
              </w:rPr>
            </w:pPr>
            <w:r>
              <w:rPr>
                <w:rFonts w:ascii="Arial Narrow" w:hAnsi="Arial Narrow" w:eastAsia="仿宋" w:cs="Times New Roman"/>
                <w:color w:val="auto"/>
                <w:sz w:val="28"/>
                <w:szCs w:val="28"/>
                <w:highlight w:val="none"/>
              </w:rPr>
              <w:t>满意度指标</w:t>
            </w:r>
          </w:p>
        </w:tc>
        <w:tc>
          <w:tcPr>
            <w:tcW w:w="1843" w:type="dxa"/>
            <w:vAlign w:val="center"/>
          </w:tcPr>
          <w:p>
            <w:pPr>
              <w:jc w:val="center"/>
              <w:rPr>
                <w:rFonts w:ascii="Arial Narrow" w:hAnsi="Arial Narrow" w:eastAsia="仿宋" w:cs="Times New Roman"/>
                <w:color w:val="auto"/>
                <w:sz w:val="28"/>
                <w:szCs w:val="28"/>
                <w:highlight w:val="none"/>
              </w:rPr>
            </w:pPr>
            <w:r>
              <w:rPr>
                <w:rFonts w:ascii="Arial Narrow" w:hAnsi="Arial Narrow" w:eastAsia="仿宋" w:cs="Times New Roman"/>
                <w:color w:val="auto"/>
                <w:sz w:val="28"/>
                <w:szCs w:val="28"/>
                <w:highlight w:val="none"/>
              </w:rPr>
              <w:t>10</w:t>
            </w:r>
          </w:p>
        </w:tc>
        <w:tc>
          <w:tcPr>
            <w:tcW w:w="2602" w:type="dxa"/>
            <w:vAlign w:val="center"/>
          </w:tcPr>
          <w:p>
            <w:pPr>
              <w:jc w:val="center"/>
              <w:rPr>
                <w:rFonts w:ascii="Arial Narrow" w:hAnsi="Arial Narrow" w:eastAsia="仿宋" w:cs="Times New Roman"/>
                <w:color w:val="auto"/>
                <w:sz w:val="28"/>
                <w:szCs w:val="28"/>
                <w:highlight w:val="none"/>
              </w:rPr>
            </w:pPr>
            <w:r>
              <w:rPr>
                <w:rFonts w:hint="eastAsia" w:ascii="Arial Narrow" w:hAnsi="Arial Narrow" w:eastAsia="仿宋" w:cs="Times New Roman"/>
                <w:color w:val="auto"/>
                <w:sz w:val="28"/>
                <w:szCs w:val="28"/>
                <w:highlight w:val="none"/>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jc w:val="center"/>
        </w:trPr>
        <w:tc>
          <w:tcPr>
            <w:tcW w:w="3402" w:type="dxa"/>
            <w:vAlign w:val="center"/>
          </w:tcPr>
          <w:p>
            <w:pPr>
              <w:jc w:val="center"/>
              <w:rPr>
                <w:rFonts w:ascii="Arial Narrow" w:hAnsi="Arial Narrow" w:eastAsia="仿宋" w:cs="Times New Roman"/>
                <w:color w:val="auto"/>
                <w:sz w:val="28"/>
                <w:szCs w:val="28"/>
                <w:highlight w:val="none"/>
              </w:rPr>
            </w:pPr>
            <w:r>
              <w:rPr>
                <w:rFonts w:ascii="Arial Narrow" w:hAnsi="Arial Narrow" w:eastAsia="仿宋" w:cs="Times New Roman"/>
                <w:color w:val="auto"/>
                <w:sz w:val="28"/>
                <w:szCs w:val="28"/>
                <w:highlight w:val="none"/>
              </w:rPr>
              <w:t>综合绩效</w:t>
            </w:r>
          </w:p>
        </w:tc>
        <w:tc>
          <w:tcPr>
            <w:tcW w:w="1843" w:type="dxa"/>
            <w:vAlign w:val="center"/>
          </w:tcPr>
          <w:p>
            <w:pPr>
              <w:jc w:val="center"/>
              <w:rPr>
                <w:rFonts w:ascii="Arial Narrow" w:hAnsi="Arial Narrow" w:eastAsia="仿宋" w:cs="Times New Roman"/>
                <w:color w:val="auto"/>
                <w:sz w:val="28"/>
                <w:szCs w:val="28"/>
                <w:highlight w:val="none"/>
              </w:rPr>
            </w:pPr>
            <w:r>
              <w:rPr>
                <w:rFonts w:ascii="Arial Narrow" w:hAnsi="Arial Narrow" w:eastAsia="仿宋" w:cs="Times New Roman"/>
                <w:color w:val="auto"/>
                <w:sz w:val="28"/>
                <w:szCs w:val="28"/>
                <w:highlight w:val="none"/>
              </w:rPr>
              <w:t>100</w:t>
            </w:r>
          </w:p>
        </w:tc>
        <w:tc>
          <w:tcPr>
            <w:tcW w:w="2602" w:type="dxa"/>
            <w:vAlign w:val="center"/>
          </w:tcPr>
          <w:p>
            <w:pPr>
              <w:jc w:val="center"/>
              <w:rPr>
                <w:rFonts w:hint="default" w:ascii="Arial Narrow" w:hAnsi="Arial Narrow" w:eastAsia="仿宋" w:cs="Times New Roman"/>
                <w:color w:val="auto"/>
                <w:sz w:val="28"/>
                <w:szCs w:val="28"/>
                <w:highlight w:val="none"/>
                <w:lang w:val="en-US" w:eastAsia="zh-CN"/>
              </w:rPr>
            </w:pPr>
            <w:r>
              <w:rPr>
                <w:rFonts w:hint="eastAsia" w:ascii="Arial Narrow" w:hAnsi="Arial Narrow" w:eastAsia="仿宋" w:cs="Times New Roman"/>
                <w:color w:val="auto"/>
                <w:sz w:val="28"/>
                <w:szCs w:val="28"/>
                <w:highlight w:val="none"/>
                <w:lang w:val="en-US" w:eastAsia="zh-CN"/>
              </w:rPr>
              <w:t>92.77</w:t>
            </w:r>
          </w:p>
        </w:tc>
      </w:tr>
    </w:tbl>
    <w:p>
      <w:pPr>
        <w:ind w:firstLine="640" w:firstLineChars="200"/>
        <w:outlineLvl w:val="1"/>
        <w:rPr>
          <w:rFonts w:ascii="Arial Narrow" w:hAnsi="Arial Narrow" w:eastAsia="楷体_GB2312" w:cs="楷体_GB2312"/>
          <w:color w:val="auto"/>
          <w:sz w:val="32"/>
          <w:szCs w:val="32"/>
          <w:highlight w:val="none"/>
          <w:shd w:val="clear" w:color="auto" w:fill="F8FAFD" w:themeFill="background1"/>
        </w:rPr>
      </w:pPr>
      <w:r>
        <w:rPr>
          <w:rFonts w:ascii="Arial Narrow" w:hAnsi="Arial Narrow" w:eastAsia="楷体_GB2312" w:cs="楷体_GB2312"/>
          <w:color w:val="auto"/>
          <w:sz w:val="32"/>
          <w:szCs w:val="32"/>
          <w:highlight w:val="none"/>
          <w:shd w:val="clear" w:color="auto" w:fill="F8FAFD" w:themeFill="background1"/>
        </w:rPr>
        <w:t>（二）部门整体绩效目标完成情况</w:t>
      </w:r>
    </w:p>
    <w:p>
      <w:pPr>
        <w:ind w:firstLine="640" w:firstLineChars="200"/>
        <w:outlineLvl w:val="2"/>
        <w:rPr>
          <w:rFonts w:ascii="Arial Narrow" w:hAnsi="Arial Narrow" w:eastAsia="仿宋_GB2312"/>
          <w:color w:val="auto"/>
          <w:sz w:val="32"/>
          <w:szCs w:val="32"/>
          <w:highlight w:val="none"/>
        </w:rPr>
      </w:pPr>
      <w:r>
        <w:rPr>
          <w:rFonts w:ascii="Arial Narrow" w:hAnsi="Arial Narrow" w:eastAsia="仿宋_GB2312"/>
          <w:color w:val="auto"/>
          <w:sz w:val="32"/>
          <w:szCs w:val="32"/>
          <w:highlight w:val="none"/>
        </w:rPr>
        <w:t>1.执行率情况。</w:t>
      </w:r>
    </w:p>
    <w:p>
      <w:pPr>
        <w:ind w:firstLine="640" w:firstLineChars="200"/>
        <w:rPr>
          <w:rFonts w:ascii="Arial Narrow" w:hAnsi="Arial Narrow" w:eastAsia="仿宋_GB2312" w:cs="Times New Roman"/>
          <w:color w:val="auto"/>
          <w:sz w:val="32"/>
          <w:szCs w:val="32"/>
          <w:highlight w:val="none"/>
        </w:rPr>
      </w:pPr>
      <w:r>
        <w:rPr>
          <w:rFonts w:ascii="Arial Narrow" w:hAnsi="Arial Narrow" w:eastAsia="仿宋_GB2312" w:cs="Times New Roman"/>
          <w:color w:val="auto"/>
          <w:sz w:val="32"/>
          <w:szCs w:val="32"/>
          <w:highlight w:val="none"/>
        </w:rPr>
        <w:t>部门年初预算数</w:t>
      </w:r>
      <w:r>
        <w:rPr>
          <w:rFonts w:hint="eastAsia" w:ascii="Arial Narrow" w:hAnsi="Arial Narrow" w:eastAsia="仿宋_GB2312" w:cs="Times New Roman"/>
          <w:color w:val="auto"/>
          <w:sz w:val="32"/>
          <w:szCs w:val="32"/>
          <w:highlight w:val="none"/>
        </w:rPr>
        <w:t>12,451.37</w:t>
      </w:r>
      <w:r>
        <w:rPr>
          <w:rFonts w:ascii="Arial Narrow" w:hAnsi="Arial Narrow" w:eastAsia="仿宋_GB2312" w:cs="Times New Roman"/>
          <w:color w:val="auto"/>
          <w:sz w:val="32"/>
          <w:szCs w:val="32"/>
          <w:highlight w:val="none"/>
        </w:rPr>
        <w:t>万元，调整后预算数</w:t>
      </w:r>
      <w:r>
        <w:rPr>
          <w:rFonts w:hint="eastAsia" w:ascii="Arial Narrow" w:hAnsi="Arial Narrow" w:eastAsia="仿宋_GB2312" w:cs="Times New Roman"/>
          <w:color w:val="auto"/>
          <w:sz w:val="32"/>
          <w:szCs w:val="32"/>
          <w:highlight w:val="none"/>
        </w:rPr>
        <w:t>12,463.97</w:t>
      </w:r>
      <w:r>
        <w:rPr>
          <w:rFonts w:ascii="Arial Narrow" w:hAnsi="Arial Narrow" w:eastAsia="仿宋_GB2312" w:cs="Times New Roman"/>
          <w:color w:val="auto"/>
          <w:sz w:val="32"/>
          <w:szCs w:val="32"/>
          <w:highlight w:val="none"/>
        </w:rPr>
        <w:t>万元，预算执行数</w:t>
      </w:r>
      <w:r>
        <w:rPr>
          <w:rFonts w:hint="eastAsia" w:ascii="Arial Narrow" w:hAnsi="Arial Narrow" w:eastAsia="仿宋_GB2312" w:cs="Times New Roman"/>
          <w:color w:val="auto"/>
          <w:sz w:val="32"/>
          <w:szCs w:val="32"/>
          <w:highlight w:val="none"/>
        </w:rPr>
        <w:t>11,168.88</w:t>
      </w:r>
      <w:r>
        <w:rPr>
          <w:rFonts w:ascii="Arial Narrow" w:hAnsi="Arial Narrow" w:eastAsia="仿宋_GB2312" w:cs="Times New Roman"/>
          <w:color w:val="auto"/>
          <w:sz w:val="32"/>
          <w:szCs w:val="32"/>
          <w:highlight w:val="none"/>
        </w:rPr>
        <w:t>万元，执行率为</w:t>
      </w:r>
      <w:r>
        <w:rPr>
          <w:rFonts w:hint="eastAsia" w:ascii="Arial Narrow" w:hAnsi="Arial Narrow" w:eastAsia="仿宋_GB2312" w:cs="Times New Roman"/>
          <w:color w:val="auto"/>
          <w:sz w:val="32"/>
          <w:szCs w:val="32"/>
          <w:highlight w:val="none"/>
        </w:rPr>
        <w:t>89.61%</w:t>
      </w:r>
      <w:r>
        <w:rPr>
          <w:rFonts w:ascii="Arial Narrow" w:hAnsi="Arial Narrow" w:eastAsia="仿宋_GB2312" w:cs="Times New Roman"/>
          <w:color w:val="auto"/>
          <w:sz w:val="32"/>
          <w:szCs w:val="32"/>
          <w:highlight w:val="none"/>
        </w:rPr>
        <w:t>。</w:t>
      </w:r>
    </w:p>
    <w:p>
      <w:pPr>
        <w:ind w:firstLine="640" w:firstLineChars="200"/>
        <w:outlineLvl w:val="2"/>
        <w:rPr>
          <w:rFonts w:ascii="Arial Narrow" w:hAnsi="Arial Narrow" w:eastAsia="仿宋_GB2312"/>
          <w:color w:val="auto"/>
          <w:sz w:val="32"/>
          <w:szCs w:val="32"/>
          <w:highlight w:val="none"/>
        </w:rPr>
      </w:pPr>
      <w:r>
        <w:rPr>
          <w:rFonts w:ascii="Arial Narrow" w:hAnsi="Arial Narrow" w:eastAsia="仿宋_GB2312"/>
          <w:color w:val="auto"/>
          <w:sz w:val="32"/>
          <w:szCs w:val="32"/>
          <w:highlight w:val="none"/>
        </w:rPr>
        <w:t>2.完成的绩效目标。</w:t>
      </w:r>
    </w:p>
    <w:p>
      <w:pPr>
        <w:ind w:firstLine="640" w:firstLineChars="200"/>
        <w:rPr>
          <w:rFonts w:ascii="Arial Narrow" w:hAnsi="Arial Narrow" w:eastAsia="仿宋_GB2312" w:cs="仿宋_GB2312"/>
          <w:color w:val="auto"/>
          <w:sz w:val="32"/>
          <w:szCs w:val="32"/>
          <w:highlight w:val="none"/>
        </w:rPr>
      </w:pPr>
      <w:r>
        <w:rPr>
          <w:rFonts w:ascii="Arial Narrow" w:hAnsi="Arial Narrow" w:eastAsia="仿宋_GB2312" w:cs="仿宋_GB2312"/>
          <w:color w:val="auto"/>
          <w:sz w:val="32"/>
          <w:szCs w:val="32"/>
          <w:highlight w:val="none"/>
        </w:rPr>
        <w:t>（1）</w:t>
      </w:r>
      <w:r>
        <w:rPr>
          <w:rFonts w:hint="eastAsia" w:ascii="Arial Narrow" w:hAnsi="Arial Narrow" w:eastAsia="仿宋_GB2312" w:cs="仿宋_GB2312"/>
          <w:color w:val="auto"/>
          <w:sz w:val="32"/>
          <w:szCs w:val="32"/>
          <w:highlight w:val="none"/>
        </w:rPr>
        <w:t>十二届三次会议大会到会率93.86%，会议人均每天支出金额严格按会议预算执行</w:t>
      </w: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rPr>
        <w:t>全年委员会议递交提案比例</w:t>
      </w:r>
      <w:r>
        <w:rPr>
          <w:rFonts w:hint="eastAsia" w:ascii="Arial Narrow" w:hAnsi="Arial Narrow" w:eastAsia="仿宋_GB2312" w:cs="仿宋_GB2312"/>
          <w:color w:val="auto"/>
          <w:sz w:val="32"/>
          <w:szCs w:val="32"/>
          <w:highlight w:val="none"/>
          <w:lang w:val="en-US" w:eastAsia="zh-CN"/>
        </w:rPr>
        <w:t>93.45</w:t>
      </w:r>
      <w:r>
        <w:rPr>
          <w:rFonts w:hint="eastAsia" w:ascii="Arial Narrow" w:hAnsi="Arial Narrow" w:eastAsia="仿宋_GB2312" w:cs="仿宋_GB2312"/>
          <w:color w:val="auto"/>
          <w:sz w:val="32"/>
          <w:szCs w:val="32"/>
          <w:highlight w:val="none"/>
        </w:rPr>
        <w:t>%，开展协作研讨类会议12次</w:t>
      </w: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rPr>
        <w:t>协商议政类会议</w:t>
      </w:r>
      <w:r>
        <w:rPr>
          <w:rFonts w:hint="eastAsia" w:ascii="Arial Narrow" w:hAnsi="Arial Narrow" w:eastAsia="仿宋_GB2312" w:cs="仿宋_GB2312"/>
          <w:color w:val="auto"/>
          <w:sz w:val="32"/>
          <w:szCs w:val="32"/>
          <w:highlight w:val="none"/>
          <w:lang w:val="en-US" w:eastAsia="zh-CN"/>
        </w:rPr>
        <w:t>15</w:t>
      </w:r>
      <w:r>
        <w:rPr>
          <w:rFonts w:hint="eastAsia" w:ascii="Arial Narrow" w:hAnsi="Arial Narrow" w:eastAsia="仿宋_GB2312" w:cs="仿宋_GB2312"/>
          <w:color w:val="auto"/>
          <w:sz w:val="32"/>
          <w:szCs w:val="32"/>
          <w:highlight w:val="none"/>
        </w:rPr>
        <w:t>次，政协在国家治理中</w:t>
      </w:r>
      <w:r>
        <w:rPr>
          <w:rFonts w:hint="eastAsia" w:ascii="Arial Narrow" w:hAnsi="Arial Narrow" w:eastAsia="仿宋_GB2312" w:cs="仿宋_GB2312"/>
          <w:color w:val="auto"/>
          <w:sz w:val="32"/>
          <w:szCs w:val="32"/>
          <w:highlight w:val="none"/>
          <w:lang w:val="en-US" w:eastAsia="zh-CN"/>
        </w:rPr>
        <w:t>发挥的效果显著</w:t>
      </w:r>
      <w:r>
        <w:rPr>
          <w:rFonts w:hint="eastAsia" w:ascii="Arial Narrow" w:hAnsi="Arial Narrow" w:eastAsia="仿宋_GB2312" w:cs="仿宋_GB2312"/>
          <w:color w:val="auto"/>
          <w:sz w:val="32"/>
          <w:szCs w:val="32"/>
          <w:highlight w:val="none"/>
        </w:rPr>
        <w:t>，</w:t>
      </w:r>
      <w:r>
        <w:rPr>
          <w:rFonts w:hint="eastAsia" w:ascii="Arial Narrow" w:hAnsi="Arial Narrow" w:eastAsia="仿宋_GB2312" w:cs="仿宋_GB2312"/>
          <w:color w:val="auto"/>
          <w:sz w:val="32"/>
          <w:szCs w:val="32"/>
          <w:highlight w:val="none"/>
          <w:lang w:val="en-US" w:eastAsia="zh-CN"/>
        </w:rPr>
        <w:t>政协会议</w:t>
      </w:r>
      <w:r>
        <w:rPr>
          <w:rFonts w:hint="eastAsia" w:ascii="Arial Narrow" w:hAnsi="Arial Narrow" w:eastAsia="仿宋_GB2312" w:cs="仿宋_GB2312"/>
          <w:color w:val="auto"/>
          <w:sz w:val="32"/>
          <w:szCs w:val="32"/>
          <w:highlight w:val="none"/>
        </w:rPr>
        <w:t>社会关注度高</w:t>
      </w:r>
      <w:r>
        <w:rPr>
          <w:rFonts w:ascii="Arial Narrow" w:hAnsi="Arial Narrow" w:eastAsia="仿宋_GB2312" w:cs="仿宋_GB2312"/>
          <w:color w:val="auto"/>
          <w:sz w:val="32"/>
          <w:szCs w:val="32"/>
          <w:highlight w:val="none"/>
        </w:rPr>
        <w:t>。</w:t>
      </w:r>
    </w:p>
    <w:p>
      <w:pPr>
        <w:ind w:firstLine="640" w:firstLineChars="200"/>
        <w:rPr>
          <w:rFonts w:ascii="Arial Narrow" w:hAnsi="Arial Narrow" w:eastAsia="仿宋_GB2312" w:cs="仿宋_GB2312"/>
          <w:color w:val="auto"/>
          <w:sz w:val="32"/>
          <w:szCs w:val="32"/>
          <w:highlight w:val="none"/>
        </w:rPr>
      </w:pPr>
      <w:r>
        <w:rPr>
          <w:rFonts w:ascii="Arial Narrow" w:hAnsi="Arial Narrow" w:eastAsia="仿宋_GB2312" w:cs="仿宋_GB2312"/>
          <w:color w:val="auto"/>
          <w:sz w:val="32"/>
          <w:szCs w:val="32"/>
          <w:highlight w:val="none"/>
        </w:rPr>
        <w:t>（2）</w:t>
      </w:r>
      <w:r>
        <w:rPr>
          <w:rFonts w:hint="eastAsia" w:ascii="Arial Narrow" w:hAnsi="Arial Narrow" w:eastAsia="仿宋_GB2312" w:cs="仿宋_GB2312"/>
          <w:color w:val="auto"/>
          <w:sz w:val="32"/>
          <w:szCs w:val="32"/>
          <w:highlight w:val="none"/>
        </w:rPr>
        <w:t>全年组织委员调研活动64次，反映调研考察成果的信息89项；根据民主监督内容的需要，合理安排委员参与相关活动，</w:t>
      </w:r>
      <w:r>
        <w:rPr>
          <w:rFonts w:hint="eastAsia" w:ascii="Arial Narrow" w:hAnsi="Arial Narrow" w:eastAsia="仿宋_GB2312" w:cs="仿宋_GB2312"/>
          <w:color w:val="auto"/>
          <w:sz w:val="32"/>
          <w:szCs w:val="32"/>
          <w:highlight w:val="none"/>
          <w:lang w:val="en-US" w:eastAsia="zh-CN"/>
        </w:rPr>
        <w:t>通过开展</w:t>
      </w:r>
      <w:r>
        <w:rPr>
          <w:rFonts w:hint="eastAsia" w:ascii="Arial Narrow" w:hAnsi="Arial Narrow" w:eastAsia="仿宋_GB2312" w:cs="仿宋_GB2312"/>
          <w:color w:val="auto"/>
          <w:sz w:val="32"/>
          <w:szCs w:val="32"/>
          <w:highlight w:val="none"/>
        </w:rPr>
        <w:t>民主监督有力推动落实相关工作进展；委员对省政协各专门委员会办公室、办公厅联络处及有关处室承办委员视察具体实施工作的满意度为96.00%</w:t>
      </w:r>
      <w:r>
        <w:rPr>
          <w:rFonts w:ascii="Arial Narrow" w:hAnsi="Arial Narrow" w:eastAsia="仿宋_GB2312" w:cs="仿宋_GB2312"/>
          <w:color w:val="auto"/>
          <w:sz w:val="32"/>
          <w:szCs w:val="32"/>
          <w:highlight w:val="none"/>
        </w:rPr>
        <w:t>。</w:t>
      </w:r>
    </w:p>
    <w:p>
      <w:pPr>
        <w:ind w:firstLine="640" w:firstLineChars="200"/>
        <w:rPr>
          <w:rFonts w:ascii="Arial Narrow" w:hAnsi="Arial Narrow" w:eastAsia="仿宋_GB2312" w:cs="仿宋_GB2312"/>
          <w:color w:val="auto"/>
          <w:sz w:val="32"/>
          <w:szCs w:val="32"/>
          <w:highlight w:val="none"/>
        </w:rPr>
      </w:pPr>
      <w:r>
        <w:rPr>
          <w:rFonts w:ascii="Arial Narrow" w:hAnsi="Arial Narrow" w:eastAsia="仿宋_GB2312" w:cs="仿宋_GB2312"/>
          <w:color w:val="auto"/>
          <w:sz w:val="32"/>
          <w:szCs w:val="32"/>
          <w:highlight w:val="none"/>
        </w:rPr>
        <w:t>（3）</w:t>
      </w:r>
      <w:r>
        <w:rPr>
          <w:rFonts w:hint="eastAsia" w:ascii="Arial Narrow" w:hAnsi="Arial Narrow" w:eastAsia="仿宋_GB2312" w:cs="仿宋_GB2312"/>
          <w:color w:val="auto"/>
          <w:sz w:val="32"/>
          <w:szCs w:val="32"/>
          <w:highlight w:val="none"/>
        </w:rPr>
        <w:t>全年</w:t>
      </w:r>
      <w:r>
        <w:rPr>
          <w:rFonts w:hint="eastAsia" w:ascii="Arial Narrow" w:hAnsi="Arial Narrow" w:eastAsia="仿宋_GB2312" w:cs="仿宋_GB2312"/>
          <w:color w:val="auto"/>
          <w:sz w:val="32"/>
          <w:szCs w:val="32"/>
          <w:highlight w:val="none"/>
          <w:lang w:val="en-US" w:eastAsia="zh-CN"/>
        </w:rPr>
        <w:t>出版</w:t>
      </w:r>
      <w:r>
        <w:rPr>
          <w:rFonts w:hint="eastAsia" w:ascii="Arial Narrow" w:hAnsi="Arial Narrow" w:eastAsia="仿宋_GB2312" w:cs="仿宋_GB2312"/>
          <w:color w:val="auto"/>
          <w:sz w:val="32"/>
          <w:szCs w:val="32"/>
          <w:highlight w:val="none"/>
        </w:rPr>
        <w:t>《学习与思考》4期、《湖北文史》1期</w:t>
      </w: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rPr>
        <w:t>《湖北政协》12期；省政协十二届三次会议委员提案立案730件，委员学习培训参与率100%，委员学习培训对提升履职水平产生的效果显著；各委员会积极开展界别活动，对社会影响力作用明显；《提案追踪》已实现全网覆盖，2020年平均收视率0.4、收视份额3.7、同时段排名第3，</w:t>
      </w:r>
      <w:r>
        <w:rPr>
          <w:rFonts w:hint="eastAsia" w:ascii="Arial Narrow" w:hAnsi="Arial Narrow" w:eastAsia="仿宋_GB2312" w:cs="仿宋_GB2312"/>
          <w:color w:val="auto"/>
          <w:sz w:val="32"/>
          <w:szCs w:val="32"/>
          <w:highlight w:val="none"/>
          <w:lang w:val="en-US" w:eastAsia="zh-CN"/>
        </w:rPr>
        <w:t>全年</w:t>
      </w:r>
      <w:r>
        <w:rPr>
          <w:rFonts w:hint="eastAsia" w:ascii="Arial Narrow" w:hAnsi="Arial Narrow" w:eastAsia="仿宋_GB2312" w:cs="仿宋_GB2312"/>
          <w:color w:val="auto"/>
          <w:sz w:val="32"/>
          <w:szCs w:val="32"/>
          <w:highlight w:val="none"/>
        </w:rPr>
        <w:t>累计收看观众人数17147000人</w:t>
      </w:r>
      <w:r>
        <w:rPr>
          <w:rFonts w:ascii="Arial Narrow" w:hAnsi="Arial Narrow" w:eastAsia="仿宋_GB2312" w:cs="仿宋_GB2312"/>
          <w:color w:val="auto"/>
          <w:sz w:val="32"/>
          <w:szCs w:val="32"/>
          <w:highlight w:val="none"/>
        </w:rPr>
        <w:t>。</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仿宋_GB2312"/>
          <w:color w:val="auto"/>
          <w:sz w:val="32"/>
          <w:szCs w:val="32"/>
          <w:highlight w:val="none"/>
        </w:rPr>
        <w:t>（4）认真做好接待工作，</w:t>
      </w:r>
      <w:r>
        <w:rPr>
          <w:rFonts w:hint="eastAsia" w:ascii="Arial Narrow" w:hAnsi="Arial Narrow" w:eastAsia="仿宋_GB2312" w:cs="仿宋_GB2312"/>
          <w:color w:val="auto"/>
          <w:sz w:val="32"/>
          <w:szCs w:val="32"/>
          <w:highlight w:val="none"/>
        </w:rPr>
        <w:t>全年接待港澳台侨各界、海外华人华侨、外国访问团来鄂考察访问6批次</w:t>
      </w: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lang w:val="en-US" w:eastAsia="zh-CN"/>
        </w:rPr>
        <w:t>接待</w:t>
      </w:r>
      <w:r>
        <w:rPr>
          <w:rFonts w:hint="eastAsia" w:ascii="Arial Narrow" w:hAnsi="Arial Narrow" w:eastAsia="仿宋_GB2312" w:cs="仿宋_GB2312"/>
          <w:color w:val="auto"/>
          <w:sz w:val="32"/>
          <w:szCs w:val="32"/>
          <w:highlight w:val="none"/>
          <w:lang w:eastAsia="zh-CN"/>
        </w:rPr>
        <w:t>兄弟省市领导考察、调研12批次、</w:t>
      </w:r>
      <w:r>
        <w:rPr>
          <w:rFonts w:hint="eastAsia" w:ascii="Arial Narrow" w:hAnsi="Arial Narrow" w:eastAsia="仿宋_GB2312" w:cs="仿宋_GB2312"/>
          <w:color w:val="auto"/>
          <w:sz w:val="32"/>
          <w:szCs w:val="32"/>
          <w:highlight w:val="none"/>
          <w:lang w:val="en-US" w:eastAsia="zh-CN"/>
        </w:rPr>
        <w:t>接待</w:t>
      </w:r>
      <w:r>
        <w:rPr>
          <w:rFonts w:ascii="Arial Narrow" w:hAnsi="Arial Narrow" w:eastAsia="仿宋_GB2312" w:cs="仿宋_GB2312"/>
          <w:color w:val="auto"/>
          <w:sz w:val="32"/>
          <w:szCs w:val="32"/>
          <w:highlight w:val="none"/>
        </w:rPr>
        <w:t>国家领导人视察调研9批次</w:t>
      </w:r>
      <w:r>
        <w:rPr>
          <w:rFonts w:hint="eastAsia" w:ascii="Arial Narrow" w:hAnsi="Arial Narrow" w:eastAsia="仿宋_GB2312" w:cs="仿宋_GB2312"/>
          <w:color w:val="auto"/>
          <w:sz w:val="32"/>
          <w:szCs w:val="32"/>
          <w:highlight w:val="none"/>
        </w:rPr>
        <w:t>、</w:t>
      </w:r>
      <w:r>
        <w:rPr>
          <w:rFonts w:hint="eastAsia" w:ascii="Arial Narrow" w:hAnsi="Arial Narrow" w:eastAsia="仿宋_GB2312" w:cs="仿宋_GB2312"/>
          <w:color w:val="auto"/>
          <w:sz w:val="32"/>
          <w:szCs w:val="32"/>
          <w:highlight w:val="none"/>
          <w:lang w:val="en-US" w:eastAsia="zh-CN"/>
        </w:rPr>
        <w:t>接待</w:t>
      </w:r>
      <w:r>
        <w:rPr>
          <w:rFonts w:hint="eastAsia" w:ascii="Arial Narrow" w:hAnsi="Arial Narrow" w:eastAsia="仿宋_GB2312" w:cs="仿宋_GB2312"/>
          <w:color w:val="auto"/>
          <w:sz w:val="32"/>
          <w:szCs w:val="32"/>
          <w:highlight w:val="none"/>
        </w:rPr>
        <w:t>国家机关（副）部级领导考察、调研9批次</w:t>
      </w:r>
      <w:r>
        <w:rPr>
          <w:rFonts w:ascii="Arial Narrow" w:hAnsi="Arial Narrow" w:eastAsia="仿宋_GB2312" w:cs="仿宋_GB2312"/>
          <w:color w:val="auto"/>
          <w:sz w:val="32"/>
          <w:szCs w:val="32"/>
          <w:highlight w:val="none"/>
        </w:rPr>
        <w:t>；</w:t>
      </w:r>
      <w:r>
        <w:rPr>
          <w:rFonts w:hint="eastAsia" w:ascii="Arial Narrow" w:hAnsi="Arial Narrow" w:eastAsia="仿宋_GB2312" w:cs="仿宋_GB2312"/>
          <w:color w:val="auto"/>
          <w:sz w:val="32"/>
          <w:szCs w:val="32"/>
          <w:highlight w:val="none"/>
          <w:lang w:val="en-US" w:eastAsia="zh-CN"/>
        </w:rPr>
        <w:t>注重</w:t>
      </w:r>
      <w:r>
        <w:rPr>
          <w:rFonts w:ascii="Arial Narrow" w:hAnsi="Arial Narrow" w:eastAsia="仿宋_GB2312" w:cs="仿宋_GB2312"/>
          <w:color w:val="auto"/>
          <w:sz w:val="32"/>
          <w:szCs w:val="32"/>
          <w:highlight w:val="none"/>
        </w:rPr>
        <w:t>提升机关信息化建设水平及机关综合治理水平，政协门户网站日均访问量超2000次</w:t>
      </w: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rPr>
        <w:t>机关日常事务管理平台有力保障工作</w:t>
      </w:r>
      <w:r>
        <w:rPr>
          <w:rFonts w:hint="eastAsia" w:ascii="Arial Narrow" w:hAnsi="Arial Narrow" w:eastAsia="仿宋_GB2312" w:cs="仿宋_GB2312"/>
          <w:color w:val="auto"/>
          <w:sz w:val="32"/>
          <w:szCs w:val="32"/>
          <w:highlight w:val="none"/>
          <w:lang w:val="en-US" w:eastAsia="zh-CN"/>
        </w:rPr>
        <w:t>效果</w:t>
      </w:r>
      <w:r>
        <w:rPr>
          <w:rFonts w:hint="eastAsia" w:ascii="Arial Narrow" w:hAnsi="Arial Narrow" w:eastAsia="仿宋_GB2312" w:cs="仿宋_GB2312"/>
          <w:color w:val="auto"/>
          <w:sz w:val="32"/>
          <w:szCs w:val="32"/>
          <w:highlight w:val="none"/>
        </w:rPr>
        <w:t>，</w:t>
      </w:r>
      <w:r>
        <w:rPr>
          <w:rFonts w:ascii="Arial Narrow" w:hAnsi="Arial Narrow" w:eastAsia="仿宋_GB2312" w:cs="仿宋_GB2312"/>
          <w:color w:val="auto"/>
          <w:sz w:val="32"/>
          <w:szCs w:val="32"/>
          <w:highlight w:val="none"/>
        </w:rPr>
        <w:t>机关信息化建设水平自评90分，</w:t>
      </w:r>
      <w:r>
        <w:rPr>
          <w:rFonts w:hint="eastAsia" w:ascii="Arial Narrow" w:hAnsi="Arial Narrow" w:eastAsia="仿宋_GB2312" w:cs="仿宋_GB2312"/>
          <w:color w:val="auto"/>
          <w:sz w:val="32"/>
          <w:szCs w:val="32"/>
          <w:highlight w:val="none"/>
        </w:rPr>
        <w:t>通过机关日常保障和物业管理，提供</w:t>
      </w:r>
      <w:r>
        <w:rPr>
          <w:rFonts w:hint="eastAsia" w:ascii="Arial Narrow" w:hAnsi="Arial Narrow" w:eastAsia="仿宋_GB2312" w:cs="仿宋_GB2312"/>
          <w:color w:val="auto"/>
          <w:sz w:val="32"/>
          <w:szCs w:val="32"/>
          <w:highlight w:val="none"/>
          <w:lang w:val="en-US" w:eastAsia="zh-CN"/>
        </w:rPr>
        <w:t>了</w:t>
      </w:r>
      <w:r>
        <w:rPr>
          <w:rFonts w:hint="eastAsia" w:ascii="Arial Narrow" w:hAnsi="Arial Narrow" w:eastAsia="仿宋_GB2312" w:cs="仿宋_GB2312"/>
          <w:color w:val="auto"/>
          <w:sz w:val="32"/>
          <w:szCs w:val="32"/>
          <w:highlight w:val="none"/>
        </w:rPr>
        <w:t>良好的办公条件，日常维护保养工作及时度为97.02%</w:t>
      </w: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rPr>
        <w:t>干部职工对机关日常维护质量以及效率满意程度为97.</w:t>
      </w:r>
      <w:r>
        <w:rPr>
          <w:rFonts w:hint="eastAsia" w:ascii="Arial Narrow" w:hAnsi="Arial Narrow" w:eastAsia="仿宋_GB2312" w:cs="仿宋_GB2312"/>
          <w:color w:val="auto"/>
          <w:sz w:val="32"/>
          <w:szCs w:val="32"/>
          <w:highlight w:val="none"/>
          <w:lang w:val="en-US" w:eastAsia="zh-CN"/>
        </w:rPr>
        <w:t>47</w:t>
      </w:r>
      <w:r>
        <w:rPr>
          <w:rFonts w:hint="eastAsia" w:ascii="Arial Narrow" w:hAnsi="Arial Narrow" w:eastAsia="仿宋_GB2312" w:cs="仿宋_GB2312"/>
          <w:color w:val="auto"/>
          <w:sz w:val="32"/>
          <w:szCs w:val="32"/>
          <w:highlight w:val="none"/>
        </w:rPr>
        <w:t>%</w:t>
      </w:r>
      <w:r>
        <w:rPr>
          <w:rFonts w:ascii="Arial Narrow" w:hAnsi="Arial Narrow" w:eastAsia="仿宋_GB2312" w:cs="仿宋_GB2312"/>
          <w:color w:val="auto"/>
          <w:sz w:val="32"/>
          <w:szCs w:val="32"/>
          <w:highlight w:val="none"/>
        </w:rPr>
        <w:t>，省政协办公厅被评为2019年度全省平安建设（综治工作）优胜单位。</w:t>
      </w:r>
    </w:p>
    <w:p>
      <w:pPr>
        <w:ind w:firstLine="640" w:firstLineChars="200"/>
        <w:outlineLvl w:val="2"/>
        <w:rPr>
          <w:rFonts w:ascii="Arial Narrow" w:hAnsi="Arial Narrow" w:eastAsia="仿宋_GB2312"/>
          <w:color w:val="auto"/>
          <w:sz w:val="32"/>
          <w:szCs w:val="32"/>
          <w:highlight w:val="none"/>
        </w:rPr>
      </w:pPr>
      <w:r>
        <w:rPr>
          <w:rFonts w:ascii="Arial Narrow" w:hAnsi="Arial Narrow" w:eastAsia="仿宋_GB2312"/>
          <w:color w:val="auto"/>
          <w:sz w:val="32"/>
          <w:szCs w:val="32"/>
          <w:highlight w:val="none"/>
        </w:rPr>
        <w:t>3.未完成的绩效目标。</w:t>
      </w:r>
    </w:p>
    <w:p>
      <w:pPr>
        <w:ind w:firstLine="640" w:firstLineChars="200"/>
        <w:rPr>
          <w:rFonts w:hint="eastAsia" w:ascii="Arial Narrow" w:hAnsi="Arial Narrow" w:eastAsia="仿宋_GB2312" w:cs="Times New Roman"/>
          <w:color w:val="auto"/>
          <w:sz w:val="32"/>
          <w:szCs w:val="32"/>
          <w:highlight w:val="none"/>
          <w:lang w:val="en-US" w:eastAsia="zh-CN"/>
        </w:rPr>
      </w:pPr>
      <w:r>
        <w:rPr>
          <w:rFonts w:hint="eastAsia" w:ascii="Arial Narrow" w:hAnsi="Arial Narrow" w:eastAsia="仿宋_GB2312" w:cs="Times New Roman"/>
          <w:color w:val="auto"/>
          <w:sz w:val="32"/>
          <w:szCs w:val="32"/>
          <w:highlight w:val="none"/>
          <w:lang w:eastAsia="zh-CN"/>
        </w:rPr>
        <w:t>（</w:t>
      </w:r>
      <w:r>
        <w:rPr>
          <w:rFonts w:hint="eastAsia" w:ascii="Arial Narrow" w:hAnsi="Arial Narrow" w:eastAsia="仿宋_GB2312" w:cs="Times New Roman"/>
          <w:color w:val="auto"/>
          <w:sz w:val="32"/>
          <w:szCs w:val="32"/>
          <w:highlight w:val="none"/>
          <w:lang w:val="en-US" w:eastAsia="zh-CN"/>
        </w:rPr>
        <w:t>1</w:t>
      </w:r>
      <w:r>
        <w:rPr>
          <w:rFonts w:hint="eastAsia" w:ascii="Arial Narrow" w:hAnsi="Arial Narrow" w:eastAsia="仿宋_GB2312" w:cs="Times New Roman"/>
          <w:color w:val="auto"/>
          <w:sz w:val="32"/>
          <w:szCs w:val="32"/>
          <w:highlight w:val="none"/>
          <w:lang w:eastAsia="zh-CN"/>
        </w:rPr>
        <w:t>）</w:t>
      </w:r>
      <w:r>
        <w:rPr>
          <w:rFonts w:ascii="Arial Narrow" w:hAnsi="Arial Narrow" w:eastAsia="仿宋_GB2312" w:cs="仿宋_GB2312"/>
          <w:color w:val="auto"/>
          <w:sz w:val="32"/>
          <w:szCs w:val="32"/>
          <w:highlight w:val="none"/>
        </w:rPr>
        <w:t>本年度</w:t>
      </w:r>
      <w:r>
        <w:rPr>
          <w:rFonts w:hint="eastAsia" w:ascii="Arial Narrow" w:hAnsi="Arial Narrow" w:eastAsia="仿宋_GB2312" w:cs="仿宋_GB2312"/>
          <w:color w:val="auto"/>
          <w:sz w:val="32"/>
          <w:szCs w:val="32"/>
          <w:highlight w:val="none"/>
        </w:rPr>
        <w:t>计划开展团结联谊类会议1次，实际未开展</w:t>
      </w:r>
      <w:r>
        <w:rPr>
          <w:rFonts w:ascii="Arial Narrow" w:hAnsi="Arial Narrow" w:eastAsia="仿宋_GB2312" w:cs="仿宋_GB2312"/>
          <w:color w:val="auto"/>
          <w:sz w:val="32"/>
          <w:szCs w:val="32"/>
          <w:highlight w:val="none"/>
        </w:rPr>
        <w:t>。</w:t>
      </w:r>
    </w:p>
    <w:p>
      <w:pPr>
        <w:ind w:firstLine="640" w:firstLineChars="200"/>
        <w:rPr>
          <w:rFonts w:hint="eastAsia" w:ascii="Arial Narrow" w:hAnsi="Arial Narrow" w:eastAsia="仿宋_GB2312" w:cs="Times New Roman"/>
          <w:color w:val="auto"/>
          <w:sz w:val="32"/>
          <w:szCs w:val="32"/>
          <w:highlight w:val="none"/>
          <w:lang w:eastAsia="zh-CN"/>
        </w:rPr>
      </w:pPr>
      <w:r>
        <w:rPr>
          <w:rFonts w:hint="eastAsia" w:ascii="Arial Narrow" w:hAnsi="Arial Narrow" w:eastAsia="仿宋_GB2312" w:cs="Times New Roman"/>
          <w:color w:val="auto"/>
          <w:sz w:val="32"/>
          <w:szCs w:val="32"/>
          <w:highlight w:val="none"/>
          <w:lang w:val="en-US" w:eastAsia="zh-CN"/>
        </w:rPr>
        <w:t>（2）本年度</w:t>
      </w:r>
      <w:r>
        <w:rPr>
          <w:rFonts w:hint="eastAsia" w:ascii="Arial Narrow" w:hAnsi="Arial Narrow" w:eastAsia="仿宋_GB2312" w:cs="Times New Roman"/>
          <w:color w:val="auto"/>
          <w:sz w:val="32"/>
          <w:szCs w:val="32"/>
          <w:highlight w:val="none"/>
        </w:rPr>
        <w:t>计划出版《湖北文史》2期，实际出版1期</w:t>
      </w:r>
      <w:r>
        <w:rPr>
          <w:rFonts w:hint="eastAsia" w:ascii="Arial Narrow" w:hAnsi="Arial Narrow" w:eastAsia="仿宋_GB2312" w:cs="Times New Roman"/>
          <w:color w:val="auto"/>
          <w:sz w:val="32"/>
          <w:szCs w:val="32"/>
          <w:highlight w:val="none"/>
          <w:lang w:eastAsia="zh-CN"/>
        </w:rPr>
        <w:t>。</w:t>
      </w:r>
    </w:p>
    <w:p>
      <w:pPr>
        <w:ind w:firstLine="640" w:firstLineChars="200"/>
        <w:rPr>
          <w:rFonts w:ascii="Arial Narrow" w:hAnsi="Arial Narrow" w:eastAsia="仿宋_GB2312" w:cs="Times New Roman"/>
          <w:color w:val="auto"/>
          <w:sz w:val="32"/>
          <w:szCs w:val="32"/>
          <w:highlight w:val="none"/>
        </w:rPr>
      </w:pPr>
      <w:r>
        <w:rPr>
          <w:rFonts w:hint="eastAsia" w:ascii="Arial Narrow" w:hAnsi="Arial Narrow" w:eastAsia="仿宋_GB2312" w:cs="Times New Roman"/>
          <w:color w:val="auto"/>
          <w:sz w:val="32"/>
          <w:szCs w:val="32"/>
          <w:highlight w:val="none"/>
          <w:lang w:eastAsia="zh-CN"/>
        </w:rPr>
        <w:t>（</w:t>
      </w:r>
      <w:r>
        <w:rPr>
          <w:rFonts w:hint="eastAsia" w:ascii="Arial Narrow" w:hAnsi="Arial Narrow" w:eastAsia="仿宋_GB2312" w:cs="Times New Roman"/>
          <w:color w:val="auto"/>
          <w:sz w:val="32"/>
          <w:szCs w:val="32"/>
          <w:highlight w:val="none"/>
          <w:lang w:val="en-US" w:eastAsia="zh-CN"/>
        </w:rPr>
        <w:t>3</w:t>
      </w:r>
      <w:r>
        <w:rPr>
          <w:rFonts w:hint="eastAsia" w:ascii="Arial Narrow" w:hAnsi="Arial Narrow" w:eastAsia="仿宋_GB2312" w:cs="Times New Roman"/>
          <w:color w:val="auto"/>
          <w:sz w:val="32"/>
          <w:szCs w:val="32"/>
          <w:highlight w:val="none"/>
          <w:lang w:eastAsia="zh-CN"/>
        </w:rPr>
        <w:t>）</w:t>
      </w:r>
      <w:r>
        <w:rPr>
          <w:rFonts w:hint="eastAsia" w:ascii="Arial Narrow" w:hAnsi="Arial Narrow" w:eastAsia="仿宋_GB2312" w:cs="Times New Roman"/>
          <w:color w:val="auto"/>
          <w:sz w:val="32"/>
          <w:szCs w:val="32"/>
          <w:highlight w:val="none"/>
          <w:lang w:val="en-US" w:eastAsia="zh-CN"/>
        </w:rPr>
        <w:t>本年度</w:t>
      </w:r>
      <w:r>
        <w:rPr>
          <w:rFonts w:hint="eastAsia" w:ascii="Arial Narrow" w:hAnsi="Arial Narrow" w:eastAsia="仿宋_GB2312" w:cs="Times New Roman"/>
          <w:color w:val="auto"/>
          <w:sz w:val="32"/>
          <w:szCs w:val="32"/>
          <w:highlight w:val="none"/>
        </w:rPr>
        <w:t>计划接待港澳台侨各界、海外华人华侨、外国访问团来鄂考察访问活动7批次，实际接待6批次；计划接待兄弟省市领导考察、调研22批次，实际接待12批次；计划接待国家领导人视察调研15批次，实际接待9批次；计划接待国家机关（副）部级领导考察、调研16批次，实际接待9批次。</w:t>
      </w:r>
    </w:p>
    <w:p>
      <w:pPr>
        <w:ind w:firstLine="640" w:firstLineChars="200"/>
        <w:outlineLvl w:val="1"/>
        <w:rPr>
          <w:rFonts w:ascii="Arial Narrow" w:hAnsi="Arial Narrow" w:eastAsia="楷体_GB2312" w:cs="楷体_GB2312"/>
          <w:color w:val="auto"/>
          <w:sz w:val="32"/>
          <w:szCs w:val="32"/>
          <w:highlight w:val="none"/>
          <w:shd w:val="clear" w:color="auto" w:fill="F8FAFD" w:themeFill="background1"/>
        </w:rPr>
      </w:pPr>
      <w:r>
        <w:rPr>
          <w:rFonts w:ascii="Arial Narrow" w:hAnsi="Arial Narrow" w:eastAsia="楷体_GB2312" w:cs="楷体_GB2312"/>
          <w:color w:val="auto"/>
          <w:sz w:val="32"/>
          <w:szCs w:val="32"/>
          <w:highlight w:val="none"/>
          <w:shd w:val="clear" w:color="auto" w:fill="F8FAFD" w:themeFill="background1"/>
        </w:rPr>
        <w:t>（三）存在的问题和原因</w:t>
      </w:r>
    </w:p>
    <w:p>
      <w:pPr>
        <w:ind w:firstLine="640" w:firstLineChars="200"/>
        <w:outlineLvl w:val="2"/>
        <w:rPr>
          <w:rFonts w:ascii="Arial Narrow" w:hAnsi="Arial Narrow" w:eastAsia="仿宋_GB2312"/>
          <w:color w:val="auto"/>
          <w:sz w:val="32"/>
          <w:szCs w:val="32"/>
          <w:highlight w:val="none"/>
        </w:rPr>
      </w:pPr>
      <w:r>
        <w:rPr>
          <w:rFonts w:hint="eastAsia" w:ascii="Arial Narrow" w:hAnsi="Arial Narrow" w:eastAsia="仿宋_GB2312"/>
          <w:color w:val="auto"/>
          <w:sz w:val="32"/>
          <w:szCs w:val="32"/>
          <w:highlight w:val="none"/>
        </w:rPr>
        <w:t>1.上年度结果应用情况。</w:t>
      </w:r>
    </w:p>
    <w:p>
      <w:pPr>
        <w:ind w:firstLine="640" w:firstLineChars="200"/>
        <w:rPr>
          <w:rFonts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rPr>
        <w:t>（1）进一步做好预算执行的监督与分析。在预算执行过程中建立绩效运行跟踪监控机制，</w:t>
      </w:r>
      <w:r>
        <w:rPr>
          <w:rFonts w:hint="eastAsia" w:ascii="Arial Narrow" w:hAnsi="Arial Narrow" w:eastAsia="仿宋_GB2312" w:cs="仿宋_GB2312"/>
          <w:color w:val="auto"/>
          <w:sz w:val="32"/>
          <w:szCs w:val="32"/>
          <w:highlight w:val="none"/>
          <w:lang w:val="en-US" w:eastAsia="zh-CN"/>
        </w:rPr>
        <w:t>通过</w:t>
      </w:r>
      <w:r>
        <w:rPr>
          <w:rFonts w:hint="eastAsia" w:ascii="Arial Narrow" w:hAnsi="Arial Narrow" w:eastAsia="仿宋_GB2312" w:cs="仿宋_GB2312"/>
          <w:color w:val="auto"/>
          <w:sz w:val="32"/>
          <w:szCs w:val="32"/>
          <w:highlight w:val="none"/>
        </w:rPr>
        <w:t>全方位、全过程的监督</w:t>
      </w:r>
      <w:r>
        <w:rPr>
          <w:rFonts w:hint="eastAsia" w:ascii="Arial Narrow" w:hAnsi="Arial Narrow" w:eastAsia="仿宋_GB2312" w:cs="仿宋_GB2312"/>
          <w:color w:val="auto"/>
          <w:sz w:val="32"/>
          <w:szCs w:val="32"/>
          <w:highlight w:val="none"/>
          <w:lang w:val="en-US" w:eastAsia="zh-CN"/>
        </w:rPr>
        <w:t>部门</w:t>
      </w:r>
      <w:r>
        <w:rPr>
          <w:rFonts w:hint="eastAsia" w:ascii="Arial Narrow" w:hAnsi="Arial Narrow" w:eastAsia="仿宋_GB2312" w:cs="仿宋_GB2312"/>
          <w:color w:val="auto"/>
          <w:sz w:val="32"/>
          <w:szCs w:val="32"/>
          <w:highlight w:val="none"/>
        </w:rPr>
        <w:t>预算资金的运行情况，强化预算编制的准确性，即部门预算收支的测算要以履行部门职能的需要为依据，</w:t>
      </w:r>
      <w:r>
        <w:rPr>
          <w:rFonts w:hint="eastAsia" w:ascii="仿宋_GB2312" w:eastAsia="仿宋_GB2312"/>
          <w:color w:val="auto"/>
          <w:sz w:val="32"/>
          <w:szCs w:val="32"/>
          <w:highlight w:val="none"/>
        </w:rPr>
        <w:t>确保预算资金的有效使用，</w:t>
      </w:r>
      <w:r>
        <w:rPr>
          <w:rFonts w:hint="eastAsia" w:ascii="Arial Narrow" w:hAnsi="Arial Narrow" w:eastAsia="仿宋_GB2312" w:cs="仿宋_GB2312"/>
          <w:color w:val="auto"/>
          <w:sz w:val="32"/>
          <w:szCs w:val="32"/>
          <w:highlight w:val="none"/>
        </w:rPr>
        <w:t>切实提高预算绩效管理的科学化、精细化水平。</w:t>
      </w:r>
    </w:p>
    <w:p>
      <w:pPr>
        <w:ind w:firstLine="640" w:firstLineChars="200"/>
        <w:rPr>
          <w:rFonts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rPr>
        <w:t>（2）加强绩效评价结果与预算的紧密联系。落实绩效评价结果与预算安排相结合制度，将绩效评价结果作为以后年度编制预算和安排财政资金的重要依据，实行资金安排与绩效评价结果挂钩机制。</w:t>
      </w:r>
    </w:p>
    <w:p>
      <w:pPr>
        <w:ind w:firstLine="640" w:firstLineChars="200"/>
        <w:rPr>
          <w:rFonts w:ascii="Arial Narrow" w:hAnsi="Arial Narrow" w:eastAsia="仿宋_GB2312" w:cs="Times New Roman"/>
          <w:color w:val="auto"/>
          <w:kern w:val="0"/>
          <w:sz w:val="32"/>
          <w:szCs w:val="32"/>
          <w:highlight w:val="none"/>
        </w:rPr>
      </w:pPr>
      <w:r>
        <w:rPr>
          <w:rFonts w:hint="eastAsia" w:ascii="Arial Narrow" w:hAnsi="Arial Narrow" w:eastAsia="仿宋_GB2312" w:cs="仿宋_GB2312"/>
          <w:color w:val="auto"/>
          <w:sz w:val="32"/>
          <w:szCs w:val="32"/>
          <w:highlight w:val="none"/>
        </w:rPr>
        <w:t>（3）通过“省政府门户网站”，将部门整体绩效自评结果向社会公开</w:t>
      </w:r>
      <w:r>
        <w:rPr>
          <w:rFonts w:ascii="Arial Narrow" w:hAnsi="Arial Narrow" w:eastAsia="仿宋_GB2312" w:cs="Times New Roman"/>
          <w:color w:val="auto"/>
          <w:kern w:val="0"/>
          <w:sz w:val="32"/>
          <w:szCs w:val="32"/>
          <w:highlight w:val="none"/>
        </w:rPr>
        <w:t>。</w:t>
      </w:r>
    </w:p>
    <w:p>
      <w:pPr>
        <w:ind w:firstLine="640" w:firstLineChars="200"/>
        <w:outlineLvl w:val="2"/>
        <w:rPr>
          <w:rFonts w:ascii="Arial Narrow" w:hAnsi="Arial Narrow" w:eastAsia="仿宋_GB2312"/>
          <w:color w:val="auto"/>
          <w:sz w:val="32"/>
          <w:szCs w:val="32"/>
          <w:highlight w:val="none"/>
        </w:rPr>
      </w:pPr>
      <w:r>
        <w:rPr>
          <w:rFonts w:ascii="Arial Narrow" w:hAnsi="Arial Narrow" w:eastAsia="仿宋_GB2312"/>
          <w:color w:val="auto"/>
          <w:sz w:val="32"/>
          <w:szCs w:val="32"/>
          <w:highlight w:val="none"/>
        </w:rPr>
        <w:t>2.本年度存在的问题和原因。</w:t>
      </w:r>
    </w:p>
    <w:p>
      <w:pPr>
        <w:ind w:firstLine="640" w:firstLineChars="200"/>
        <w:rPr>
          <w:rFonts w:hint="eastAsia"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rPr>
        <w:t>（1）部分绩效指标值未达到年初目标。</w:t>
      </w:r>
    </w:p>
    <w:p>
      <w:pPr>
        <w:ind w:firstLine="640" w:firstLineChars="200"/>
        <w:rPr>
          <w:rFonts w:hint="eastAsia"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lang w:val="en-US" w:eastAsia="zh-CN"/>
        </w:rPr>
        <w:t>一是年初计划开展团结联谊类会议1次，实际未开展。</w:t>
      </w:r>
      <w:r>
        <w:rPr>
          <w:rFonts w:hint="eastAsia" w:ascii="Arial Narrow" w:hAnsi="Arial Narrow" w:eastAsia="仿宋_GB2312" w:cs="仿宋_GB2312"/>
          <w:color w:val="auto"/>
          <w:sz w:val="32"/>
          <w:szCs w:val="32"/>
          <w:highlight w:val="none"/>
          <w:lang w:eastAsia="zh-CN"/>
        </w:rPr>
        <w:t>主要</w:t>
      </w:r>
      <w:r>
        <w:rPr>
          <w:rFonts w:hint="eastAsia" w:ascii="Arial Narrow" w:hAnsi="Arial Narrow" w:eastAsia="仿宋_GB2312" w:cs="仿宋_GB2312"/>
          <w:color w:val="auto"/>
          <w:sz w:val="32"/>
          <w:szCs w:val="32"/>
          <w:highlight w:val="none"/>
          <w:lang w:val="en-US" w:eastAsia="zh-CN"/>
        </w:rPr>
        <w:t>是</w:t>
      </w:r>
      <w:r>
        <w:rPr>
          <w:rFonts w:hint="eastAsia" w:ascii="Arial Narrow" w:hAnsi="Arial Narrow" w:eastAsia="仿宋_GB2312" w:cs="仿宋_GB2312"/>
          <w:color w:val="auto"/>
          <w:sz w:val="32"/>
          <w:szCs w:val="32"/>
          <w:highlight w:val="none"/>
          <w:lang w:eastAsia="zh-CN"/>
        </w:rPr>
        <w:t>因为</w:t>
      </w:r>
      <w:r>
        <w:rPr>
          <w:rFonts w:hint="eastAsia" w:ascii="Arial Narrow" w:hAnsi="Arial Narrow" w:eastAsia="仿宋_GB2312" w:cs="仿宋_GB2312"/>
          <w:color w:val="auto"/>
          <w:sz w:val="32"/>
          <w:szCs w:val="32"/>
          <w:highlight w:val="none"/>
        </w:rPr>
        <w:t>综合考虑当前疫情防控工作的需要和年底全省的工作安排，今年暂停举办湖北省各界人士迎新年茶话会。</w:t>
      </w:r>
    </w:p>
    <w:p>
      <w:pPr>
        <w:ind w:firstLine="640" w:firstLineChars="200"/>
        <w:rPr>
          <w:rFonts w:hint="eastAsia"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lang w:val="en-US" w:eastAsia="zh-CN"/>
        </w:rPr>
        <w:t>二是</w:t>
      </w:r>
      <w:r>
        <w:rPr>
          <w:rFonts w:hint="eastAsia" w:ascii="Arial Narrow" w:hAnsi="Arial Narrow" w:eastAsia="仿宋_GB2312" w:cs="仿宋_GB2312"/>
          <w:color w:val="auto"/>
          <w:sz w:val="32"/>
          <w:szCs w:val="32"/>
          <w:highlight w:val="none"/>
        </w:rPr>
        <w:t>年初计划出版《湖北文史》2期，实际出版1期，拟出版的《湖北文史》109辑“抗疫专辑”已完成组稿、编审工作，但因涉及抗击新冠疫情，省主管部门认为，该书稿所涉及人物、图片、数字等细节和重大节点、重大结论等相关内容表述比较敏感，难以全部一一核准，为慎重起见，建议此书稿作为内部资料留存，因此未出版。</w:t>
      </w:r>
    </w:p>
    <w:p>
      <w:pPr>
        <w:ind w:firstLine="640" w:firstLineChars="200"/>
        <w:rPr>
          <w:rFonts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lang w:val="en-US" w:eastAsia="zh-CN"/>
        </w:rPr>
        <w:t>三是</w:t>
      </w:r>
      <w:r>
        <w:rPr>
          <w:rFonts w:hint="eastAsia" w:ascii="Arial Narrow" w:hAnsi="Arial Narrow" w:eastAsia="仿宋_GB2312" w:cs="仿宋_GB2312"/>
          <w:color w:val="auto"/>
          <w:sz w:val="32"/>
          <w:szCs w:val="32"/>
          <w:highlight w:val="none"/>
        </w:rPr>
        <w:t>接待</w:t>
      </w:r>
      <w:r>
        <w:rPr>
          <w:rFonts w:hint="eastAsia" w:ascii="Arial Narrow" w:hAnsi="Arial Narrow" w:eastAsia="仿宋_GB2312" w:cs="仿宋_GB2312"/>
          <w:color w:val="auto"/>
          <w:sz w:val="32"/>
          <w:szCs w:val="32"/>
          <w:highlight w:val="none"/>
          <w:lang w:val="en-US" w:eastAsia="zh-CN"/>
        </w:rPr>
        <w:t>批次未达年初目标值，</w:t>
      </w:r>
      <w:r>
        <w:rPr>
          <w:rFonts w:hint="eastAsia" w:ascii="Arial Narrow" w:hAnsi="Arial Narrow" w:eastAsia="仿宋_GB2312" w:cs="仿宋_GB2312"/>
          <w:color w:val="auto"/>
          <w:sz w:val="32"/>
          <w:szCs w:val="32"/>
          <w:highlight w:val="none"/>
        </w:rPr>
        <w:t>主要是因为受疫情影响，港澳台侨各界、海外华人华侨、外国访问团来鄂考察访问活动次数及兄弟省市领导考察调研</w:t>
      </w: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rPr>
        <w:t>国家领导人视察、国家机关（副）部级领导考察调研次数减少。</w:t>
      </w:r>
    </w:p>
    <w:p>
      <w:pPr>
        <w:numPr>
          <w:ilvl w:val="0"/>
          <w:numId w:val="1"/>
        </w:numPr>
        <w:ind w:firstLine="640" w:firstLineChars="200"/>
        <w:rPr>
          <w:rFonts w:hint="eastAsia"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rPr>
        <w:t>项目绩效指标体系科学性有待提升。</w:t>
      </w:r>
    </w:p>
    <w:p>
      <w:pPr>
        <w:numPr>
          <w:ilvl w:val="0"/>
          <w:numId w:val="0"/>
        </w:numPr>
        <w:ind w:firstLine="640" w:firstLineChars="200"/>
        <w:rPr>
          <w:rFonts w:hint="eastAsia" w:ascii="Arial Narrow" w:hAnsi="Arial Narrow" w:eastAsia="仿宋_GB2312" w:cs="仿宋_GB2312"/>
          <w:color w:val="auto"/>
          <w:sz w:val="32"/>
          <w:szCs w:val="32"/>
          <w:highlight w:val="none"/>
          <w:lang w:eastAsia="zh-CN"/>
        </w:rPr>
      </w:pPr>
      <w:r>
        <w:rPr>
          <w:rFonts w:hint="eastAsia" w:ascii="Arial Narrow" w:hAnsi="Arial Narrow" w:eastAsia="仿宋_GB2312" w:cs="仿宋_GB2312"/>
          <w:color w:val="auto"/>
          <w:sz w:val="32"/>
          <w:szCs w:val="32"/>
          <w:highlight w:val="none"/>
          <w:lang w:val="en-US" w:eastAsia="zh-CN"/>
        </w:rPr>
        <w:t>一是产出指标中，</w:t>
      </w:r>
      <w:r>
        <w:rPr>
          <w:rFonts w:hint="eastAsia" w:ascii="Arial Narrow" w:hAnsi="Arial Narrow" w:eastAsia="仿宋_GB2312" w:cs="仿宋_GB2312"/>
          <w:color w:val="auto"/>
          <w:sz w:val="32"/>
          <w:szCs w:val="32"/>
          <w:highlight w:val="none"/>
        </w:rPr>
        <w:t>“国家领导人视察调研接待次数”、“国家机关（副）部级领导考察、调研接待次数”、“兄弟省市领导考察、调研接待次数”3个数量指标评价方向相似，可以合并</w:t>
      </w:r>
      <w:r>
        <w:rPr>
          <w:rFonts w:hint="eastAsia" w:ascii="Arial Narrow" w:hAnsi="Arial Narrow" w:eastAsia="仿宋_GB2312" w:cs="仿宋_GB2312"/>
          <w:color w:val="auto"/>
          <w:sz w:val="32"/>
          <w:szCs w:val="32"/>
          <w:highlight w:val="none"/>
          <w:lang w:val="en-US" w:eastAsia="zh-CN"/>
        </w:rPr>
        <w:t>为1个指标</w:t>
      </w:r>
      <w:r>
        <w:rPr>
          <w:rFonts w:hint="eastAsia" w:ascii="Arial Narrow" w:hAnsi="Arial Narrow" w:eastAsia="仿宋_GB2312" w:cs="仿宋_GB2312"/>
          <w:color w:val="auto"/>
          <w:sz w:val="32"/>
          <w:szCs w:val="32"/>
          <w:highlight w:val="none"/>
          <w:lang w:eastAsia="zh-CN"/>
        </w:rPr>
        <w:t>。</w:t>
      </w:r>
    </w:p>
    <w:p>
      <w:pPr>
        <w:numPr>
          <w:ilvl w:val="0"/>
          <w:numId w:val="0"/>
        </w:numPr>
        <w:ind w:firstLine="640" w:firstLineChars="200"/>
        <w:rPr>
          <w:rFonts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lang w:val="en-US" w:eastAsia="zh-CN"/>
        </w:rPr>
        <w:t>二是</w:t>
      </w:r>
      <w:r>
        <w:rPr>
          <w:rFonts w:hint="eastAsia" w:ascii="Arial Narrow" w:hAnsi="Arial Narrow" w:eastAsia="仿宋_GB2312" w:cs="仿宋_GB2312"/>
          <w:color w:val="auto"/>
          <w:sz w:val="32"/>
          <w:szCs w:val="32"/>
          <w:highlight w:val="none"/>
        </w:rPr>
        <w:t>效益指标完成程度难以量化评价，如“发挥政协在国家治理中的作用”</w:t>
      </w:r>
      <w:r>
        <w:rPr>
          <w:rFonts w:hint="eastAsia" w:ascii="Arial Narrow" w:hAnsi="Arial Narrow" w:eastAsia="仿宋_GB2312" w:cs="仿宋_GB2312"/>
          <w:color w:val="auto"/>
          <w:sz w:val="32"/>
          <w:szCs w:val="32"/>
          <w:highlight w:val="none"/>
          <w:lang w:eastAsia="zh-CN"/>
        </w:rPr>
        <w:t>、“通过开展民主监督落实推动相关工作进展情况”、</w:t>
      </w:r>
      <w:r>
        <w:rPr>
          <w:rFonts w:hint="eastAsia" w:ascii="Arial Narrow" w:hAnsi="Arial Narrow" w:eastAsia="仿宋_GB2312" w:cs="仿宋_GB2312"/>
          <w:color w:val="auto"/>
          <w:sz w:val="32"/>
          <w:szCs w:val="32"/>
          <w:highlight w:val="none"/>
        </w:rPr>
        <w:t>“开展界别活动对社会的影响力”、“提案追踪宣传效果”</w:t>
      </w:r>
      <w:r>
        <w:rPr>
          <w:rFonts w:hint="eastAsia" w:ascii="Arial Narrow" w:hAnsi="Arial Narrow" w:eastAsia="仿宋_GB2312" w:cs="仿宋_GB2312"/>
          <w:color w:val="auto"/>
          <w:sz w:val="32"/>
          <w:szCs w:val="32"/>
          <w:highlight w:val="none"/>
          <w:lang w:val="en-US" w:eastAsia="zh-CN"/>
        </w:rPr>
        <w:t>等</w:t>
      </w:r>
      <w:r>
        <w:rPr>
          <w:rFonts w:hint="eastAsia" w:ascii="Arial Narrow" w:hAnsi="Arial Narrow" w:eastAsia="仿宋_GB2312" w:cs="仿宋_GB2312"/>
          <w:color w:val="auto"/>
          <w:sz w:val="32"/>
          <w:szCs w:val="32"/>
          <w:highlight w:val="none"/>
        </w:rPr>
        <w:t>指标目标值为定性描述，不便于对指标完成程度进行量化评价，项目实施效果的评价结论容易受到主观影响。</w:t>
      </w:r>
    </w:p>
    <w:p>
      <w:pPr>
        <w:ind w:firstLine="640" w:firstLineChars="200"/>
        <w:outlineLvl w:val="1"/>
        <w:rPr>
          <w:rFonts w:ascii="Arial Narrow" w:hAnsi="Arial Narrow" w:eastAsia="楷体_GB2312" w:cs="楷体_GB2312"/>
          <w:color w:val="auto"/>
          <w:sz w:val="32"/>
          <w:szCs w:val="32"/>
          <w:highlight w:val="none"/>
          <w:shd w:val="clear" w:color="auto" w:fill="F8FAFD" w:themeFill="background1"/>
        </w:rPr>
      </w:pPr>
      <w:r>
        <w:rPr>
          <w:rFonts w:ascii="Arial Narrow" w:hAnsi="Arial Narrow" w:eastAsia="楷体_GB2312" w:cs="楷体_GB2312"/>
          <w:color w:val="auto"/>
          <w:sz w:val="32"/>
          <w:szCs w:val="32"/>
          <w:highlight w:val="none"/>
          <w:shd w:val="clear" w:color="auto" w:fill="F8FAFD" w:themeFill="background1"/>
        </w:rPr>
        <w:t>（四）下一步拟改进措施</w:t>
      </w:r>
    </w:p>
    <w:p>
      <w:pPr>
        <w:ind w:firstLine="640" w:firstLineChars="200"/>
        <w:outlineLvl w:val="2"/>
        <w:rPr>
          <w:rFonts w:ascii="Arial Narrow" w:hAnsi="Arial Narrow" w:eastAsia="仿宋_GB2312"/>
          <w:color w:val="auto"/>
          <w:sz w:val="32"/>
          <w:szCs w:val="32"/>
          <w:highlight w:val="none"/>
        </w:rPr>
      </w:pPr>
      <w:r>
        <w:rPr>
          <w:rFonts w:hint="eastAsia" w:ascii="Arial Narrow" w:hAnsi="Arial Narrow" w:eastAsia="仿宋_GB2312"/>
          <w:color w:val="auto"/>
          <w:sz w:val="32"/>
          <w:szCs w:val="32"/>
          <w:highlight w:val="none"/>
        </w:rPr>
        <w:t>1.项目完善及绩效目标调整。</w:t>
      </w:r>
    </w:p>
    <w:p>
      <w:pPr>
        <w:ind w:firstLine="640" w:firstLineChars="200"/>
        <w:rPr>
          <w:rFonts w:hint="eastAsia"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rPr>
        <w:t>（1）项目完善</w:t>
      </w:r>
      <w:r>
        <w:rPr>
          <w:rFonts w:hint="eastAsia" w:ascii="Arial Narrow" w:hAnsi="Arial Narrow" w:eastAsia="仿宋_GB2312" w:cs="仿宋_GB2312"/>
          <w:color w:val="auto"/>
          <w:sz w:val="32"/>
          <w:szCs w:val="32"/>
          <w:highlight w:val="none"/>
          <w:lang w:val="en-US" w:eastAsia="zh-CN"/>
        </w:rPr>
        <w:t>措施</w:t>
      </w:r>
    </w:p>
    <w:p>
      <w:pPr>
        <w:ind w:firstLine="640" w:firstLineChars="200"/>
        <w:rPr>
          <w:rFonts w:hint="eastAsia"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rPr>
        <w:t>一是按计划开展各类专项会议，牢牢把握新时代人民政协的新方位新使命，坚持建言资政和凝聚共识双向发力，全面推动政协工作提质增效，提高政治协商、民主监督、参政议政水平，不断完善制度机制，更好地把人民政协制度优势转化为国家治理效能。</w:t>
      </w:r>
    </w:p>
    <w:p>
      <w:pPr>
        <w:ind w:firstLine="640" w:firstLineChars="200"/>
        <w:rPr>
          <w:rFonts w:hint="eastAsia" w:ascii="Arial Narrow" w:hAnsi="Arial Narrow" w:eastAsia="仿宋_GB2312" w:cs="仿宋_GB2312"/>
          <w:color w:val="auto"/>
          <w:sz w:val="32"/>
          <w:szCs w:val="32"/>
          <w:highlight w:val="none"/>
          <w:lang w:eastAsia="zh-CN"/>
        </w:rPr>
      </w:pPr>
      <w:r>
        <w:rPr>
          <w:rFonts w:hint="eastAsia" w:ascii="Arial Narrow" w:hAnsi="Arial Narrow" w:eastAsia="仿宋_GB2312" w:cs="仿宋_GB2312"/>
          <w:color w:val="auto"/>
          <w:sz w:val="32"/>
          <w:szCs w:val="32"/>
          <w:highlight w:val="none"/>
          <w:lang w:val="en-US" w:eastAsia="zh-CN"/>
        </w:rPr>
        <w:t>二是</w:t>
      </w:r>
      <w:r>
        <w:rPr>
          <w:rFonts w:hint="eastAsia" w:ascii="Arial Narrow" w:hAnsi="Arial Narrow" w:eastAsia="仿宋_GB2312" w:cs="仿宋_GB2312"/>
          <w:color w:val="auto"/>
          <w:sz w:val="32"/>
          <w:szCs w:val="32"/>
          <w:highlight w:val="none"/>
        </w:rPr>
        <w:t>充分发挥政协优势，广泛凝聚各阶层力量和智慧，宣传荆楚文化，树立正确的创作导向，同时发挥文史资料存史、资政、团结、育人的功能，为两个文明建设服务</w:t>
      </w:r>
      <w:r>
        <w:rPr>
          <w:rFonts w:hint="eastAsia" w:ascii="Arial Narrow" w:hAnsi="Arial Narrow" w:eastAsia="仿宋_GB2312" w:cs="仿宋_GB2312"/>
          <w:color w:val="auto"/>
          <w:sz w:val="32"/>
          <w:szCs w:val="32"/>
          <w:highlight w:val="none"/>
          <w:lang w:eastAsia="zh-CN"/>
        </w:rPr>
        <w:t>。</w:t>
      </w:r>
    </w:p>
    <w:p>
      <w:pPr>
        <w:ind w:firstLine="640" w:firstLineChars="200"/>
        <w:rPr>
          <w:rFonts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lang w:val="en-US" w:eastAsia="zh-CN"/>
        </w:rPr>
        <w:t>三</w:t>
      </w:r>
      <w:r>
        <w:rPr>
          <w:rFonts w:hint="eastAsia" w:ascii="Arial Narrow" w:hAnsi="Arial Narrow" w:eastAsia="仿宋_GB2312" w:cs="仿宋_GB2312"/>
          <w:color w:val="auto"/>
          <w:sz w:val="32"/>
          <w:szCs w:val="32"/>
          <w:highlight w:val="none"/>
        </w:rPr>
        <w:t>是综合考虑疫情防控要求，合理安排接待及交流工作，采用多种形式广泛凝聚共识，加强同海外侨胞和港澳人士的团结联系、交流合作，起到凝聚人心、画大同心圆的积极作用。</w:t>
      </w:r>
    </w:p>
    <w:p>
      <w:pPr>
        <w:numPr>
          <w:ilvl w:val="0"/>
          <w:numId w:val="0"/>
        </w:numPr>
        <w:ind w:left="0" w:leftChars="0" w:firstLine="640" w:firstLineChars="200"/>
        <w:rPr>
          <w:rFonts w:hint="eastAsia" w:ascii="Arial Narrow" w:hAnsi="Arial Narrow" w:eastAsia="仿宋_GB2312" w:cs="仿宋_GB2312"/>
          <w:color w:val="auto"/>
          <w:sz w:val="32"/>
          <w:szCs w:val="32"/>
          <w:highlight w:val="none"/>
          <w:lang w:val="en-US" w:eastAsia="zh-CN"/>
        </w:rPr>
      </w:pP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lang w:val="en-US" w:eastAsia="zh-CN"/>
        </w:rPr>
        <w:t>2</w:t>
      </w: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rPr>
        <w:t>绩效目标调整</w:t>
      </w:r>
      <w:r>
        <w:rPr>
          <w:rFonts w:hint="eastAsia" w:ascii="Arial Narrow" w:hAnsi="Arial Narrow" w:eastAsia="仿宋_GB2312" w:cs="仿宋_GB2312"/>
          <w:color w:val="auto"/>
          <w:sz w:val="32"/>
          <w:szCs w:val="32"/>
          <w:highlight w:val="none"/>
          <w:lang w:val="en-US" w:eastAsia="zh-CN"/>
        </w:rPr>
        <w:t>措施</w:t>
      </w:r>
    </w:p>
    <w:p>
      <w:pPr>
        <w:numPr>
          <w:ilvl w:val="0"/>
          <w:numId w:val="0"/>
        </w:numPr>
        <w:ind w:left="0" w:leftChars="0" w:firstLine="640" w:firstLineChars="200"/>
        <w:rPr>
          <w:rFonts w:hint="eastAsia"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rPr>
        <w:t>一是将“国家领导人视察调研接待次数”、“国家机关（副）部级领导考察、调研接待次数”、“兄弟省市领导考察、调研接待次数”3个指标合并，修改为“接待考察、视察调研次数”指标。</w:t>
      </w:r>
    </w:p>
    <w:p>
      <w:pPr>
        <w:numPr>
          <w:ilvl w:val="0"/>
          <w:numId w:val="0"/>
        </w:numPr>
        <w:ind w:left="0" w:leftChars="0" w:firstLine="640" w:firstLineChars="200"/>
        <w:rPr>
          <w:rFonts w:hint="eastAsia" w:ascii="Arial Narrow" w:hAnsi="Arial Narrow" w:eastAsia="仿宋_GB2312" w:cs="Times New Roman"/>
          <w:color w:val="auto"/>
          <w:sz w:val="32"/>
          <w:szCs w:val="32"/>
          <w:highlight w:val="none"/>
          <w:lang w:val="en-US" w:eastAsia="zh-CN"/>
        </w:rPr>
      </w:pPr>
      <w:r>
        <w:rPr>
          <w:rFonts w:hint="eastAsia" w:ascii="Arial Narrow" w:hAnsi="Arial Narrow" w:eastAsia="仿宋_GB2312" w:cs="仿宋_GB2312"/>
          <w:color w:val="auto"/>
          <w:sz w:val="32"/>
          <w:szCs w:val="32"/>
          <w:highlight w:val="none"/>
        </w:rPr>
        <w:t>二是根据项目资金支出方向和实际实施内容，优化项目绩效指标体系</w:t>
      </w: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rPr>
        <w:t>如</w:t>
      </w:r>
      <w:r>
        <w:rPr>
          <w:rFonts w:hint="eastAsia" w:ascii="Arial Narrow" w:hAnsi="Arial Narrow" w:eastAsia="仿宋_GB2312" w:cs="Times New Roman"/>
          <w:color w:val="auto"/>
          <w:sz w:val="32"/>
          <w:szCs w:val="32"/>
          <w:highlight w:val="none"/>
        </w:rPr>
        <w:t>将“发挥政协在国家治理中的作用”指标修改为“建言资政</w:t>
      </w:r>
      <w:r>
        <w:rPr>
          <w:rFonts w:hint="eastAsia" w:ascii="Arial Narrow" w:hAnsi="Arial Narrow" w:eastAsia="仿宋_GB2312" w:cs="Times New Roman"/>
          <w:color w:val="auto"/>
          <w:sz w:val="32"/>
          <w:szCs w:val="32"/>
          <w:highlight w:val="none"/>
          <w:lang w:eastAsia="zh-CN"/>
        </w:rPr>
        <w:t>、</w:t>
      </w:r>
      <w:r>
        <w:rPr>
          <w:rFonts w:hint="eastAsia" w:ascii="Arial Narrow" w:hAnsi="Arial Narrow" w:eastAsia="仿宋_GB2312" w:cs="Times New Roman"/>
          <w:color w:val="auto"/>
          <w:sz w:val="32"/>
          <w:szCs w:val="32"/>
          <w:highlight w:val="none"/>
        </w:rPr>
        <w:t>凝聚共识</w:t>
      </w:r>
      <w:r>
        <w:rPr>
          <w:rFonts w:hint="eastAsia" w:ascii="Arial Narrow" w:hAnsi="Arial Narrow" w:eastAsia="仿宋_GB2312" w:cs="Times New Roman"/>
          <w:color w:val="auto"/>
          <w:sz w:val="32"/>
          <w:szCs w:val="32"/>
          <w:highlight w:val="none"/>
          <w:lang w:val="en-US" w:eastAsia="zh-CN"/>
        </w:rPr>
        <w:t>履职程度</w:t>
      </w:r>
      <w:r>
        <w:rPr>
          <w:rFonts w:hint="eastAsia" w:ascii="Arial Narrow" w:hAnsi="Arial Narrow" w:eastAsia="仿宋_GB2312" w:cs="Times New Roman"/>
          <w:color w:val="auto"/>
          <w:sz w:val="32"/>
          <w:szCs w:val="32"/>
          <w:highlight w:val="none"/>
        </w:rPr>
        <w:t>”指标</w:t>
      </w:r>
      <w:r>
        <w:rPr>
          <w:rFonts w:hint="eastAsia" w:ascii="Arial Narrow" w:hAnsi="Arial Narrow" w:eastAsia="仿宋_GB2312" w:cs="Times New Roman"/>
          <w:color w:val="auto"/>
          <w:sz w:val="32"/>
          <w:szCs w:val="32"/>
          <w:highlight w:val="none"/>
          <w:lang w:eastAsia="zh-CN"/>
        </w:rPr>
        <w:t>、</w:t>
      </w:r>
      <w:r>
        <w:rPr>
          <w:rFonts w:hint="eastAsia" w:ascii="Arial Narrow" w:hAnsi="Arial Narrow" w:eastAsia="仿宋_GB2312" w:cs="仿宋_GB2312"/>
          <w:color w:val="auto"/>
          <w:sz w:val="32"/>
          <w:szCs w:val="32"/>
          <w:highlight w:val="none"/>
        </w:rPr>
        <w:t>“提案追踪宣传效果”指标修改为“提案追踪</w:t>
      </w:r>
      <w:r>
        <w:rPr>
          <w:rFonts w:hint="eastAsia" w:ascii="Arial Narrow" w:hAnsi="Arial Narrow" w:eastAsia="仿宋_GB2312" w:cs="仿宋_GB2312"/>
          <w:color w:val="auto"/>
          <w:sz w:val="32"/>
          <w:szCs w:val="32"/>
          <w:highlight w:val="none"/>
          <w:lang w:val="en-US" w:eastAsia="zh-CN"/>
        </w:rPr>
        <w:t>全年</w:t>
      </w:r>
      <w:r>
        <w:rPr>
          <w:rFonts w:hint="eastAsia" w:ascii="Arial Narrow" w:hAnsi="Arial Narrow" w:eastAsia="仿宋_GB2312" w:cs="仿宋_GB2312"/>
          <w:color w:val="auto"/>
          <w:sz w:val="32"/>
          <w:szCs w:val="32"/>
          <w:highlight w:val="none"/>
        </w:rPr>
        <w:t>累计观看人数”指标</w:t>
      </w:r>
      <w:r>
        <w:rPr>
          <w:rFonts w:hint="eastAsia" w:ascii="Arial Narrow" w:hAnsi="Arial Narrow" w:eastAsia="仿宋_GB2312" w:cs="Times New Roman"/>
          <w:color w:val="auto"/>
          <w:sz w:val="32"/>
          <w:szCs w:val="32"/>
          <w:highlight w:val="none"/>
          <w:lang w:eastAsia="zh-CN"/>
        </w:rPr>
        <w:t>、</w:t>
      </w:r>
      <w:r>
        <w:rPr>
          <w:rFonts w:hint="eastAsia" w:ascii="Arial Narrow" w:hAnsi="Arial Narrow" w:eastAsia="仿宋_GB2312" w:cs="Times New Roman"/>
          <w:color w:val="auto"/>
          <w:sz w:val="32"/>
          <w:szCs w:val="32"/>
          <w:highlight w:val="none"/>
          <w:lang w:val="en-US" w:eastAsia="zh-CN"/>
        </w:rPr>
        <w:t>“通过机关日常保障和物业管理，提供良好的办公条件”指标修改为“办公环境保障度”指标，新增</w:t>
      </w:r>
      <w:r>
        <w:rPr>
          <w:rFonts w:hint="eastAsia" w:ascii="Arial Narrow" w:hAnsi="Arial Narrow" w:eastAsia="仿宋_GB2312" w:cs="Times New Roman"/>
          <w:color w:val="auto"/>
          <w:sz w:val="32"/>
          <w:szCs w:val="32"/>
          <w:highlight w:val="none"/>
        </w:rPr>
        <w:t>“调研信息结果运用率”指标</w:t>
      </w:r>
      <w:r>
        <w:rPr>
          <w:rFonts w:hint="eastAsia" w:ascii="Arial Narrow" w:hAnsi="Arial Narrow" w:eastAsia="仿宋_GB2312" w:cs="Times New Roman"/>
          <w:color w:val="auto"/>
          <w:sz w:val="32"/>
          <w:szCs w:val="32"/>
          <w:highlight w:val="none"/>
          <w:lang w:eastAsia="zh-CN"/>
        </w:rPr>
        <w:t>、“社情民意反馈度”指标</w:t>
      </w:r>
      <w:r>
        <w:rPr>
          <w:rFonts w:hint="eastAsia" w:ascii="Arial Narrow" w:hAnsi="Arial Narrow" w:eastAsia="仿宋_GB2312" w:cs="Times New Roman"/>
          <w:color w:val="auto"/>
          <w:sz w:val="32"/>
          <w:szCs w:val="32"/>
          <w:highlight w:val="none"/>
          <w:lang w:val="en-US" w:eastAsia="zh-CN"/>
        </w:rPr>
        <w:t>等。</w:t>
      </w:r>
    </w:p>
    <w:p>
      <w:pPr>
        <w:numPr>
          <w:ilvl w:val="0"/>
          <w:numId w:val="0"/>
        </w:numPr>
        <w:ind w:left="0" w:leftChars="0" w:firstLine="640" w:firstLineChars="200"/>
        <w:rPr>
          <w:rFonts w:hint="default" w:ascii="Arial Narrow" w:hAnsi="Arial Narrow" w:eastAsia="仿宋_GB2312" w:cs="Times New Roman"/>
          <w:color w:val="auto"/>
          <w:sz w:val="32"/>
          <w:szCs w:val="32"/>
          <w:highlight w:val="none"/>
          <w:lang w:val="en-US" w:eastAsia="zh-CN"/>
        </w:rPr>
      </w:pPr>
      <w:r>
        <w:rPr>
          <w:rFonts w:hint="eastAsia" w:ascii="Arial Narrow" w:hAnsi="Arial Narrow" w:eastAsia="仿宋_GB2312" w:cs="Times New Roman"/>
          <w:color w:val="auto"/>
          <w:sz w:val="32"/>
          <w:szCs w:val="32"/>
          <w:highlight w:val="none"/>
          <w:lang w:val="en-US" w:eastAsia="zh-CN"/>
        </w:rPr>
        <w:t>三是</w:t>
      </w:r>
      <w:r>
        <w:rPr>
          <w:rFonts w:ascii="Arial Narrow" w:hAnsi="Arial Narrow" w:eastAsia="仿宋_GB2312" w:cs="Times New Roman"/>
          <w:color w:val="auto"/>
          <w:sz w:val="32"/>
          <w:szCs w:val="32"/>
          <w:highlight w:val="none"/>
        </w:rPr>
        <w:t>设置可量化的满意度指标值，便于对</w:t>
      </w:r>
      <w:r>
        <w:rPr>
          <w:rFonts w:hint="eastAsia" w:ascii="Arial Narrow" w:hAnsi="Arial Narrow" w:eastAsia="仿宋_GB2312" w:cs="Times New Roman"/>
          <w:color w:val="auto"/>
          <w:sz w:val="32"/>
          <w:szCs w:val="32"/>
          <w:highlight w:val="none"/>
          <w:lang w:val="en-US" w:eastAsia="zh-CN"/>
        </w:rPr>
        <w:t>满意度</w:t>
      </w:r>
      <w:r>
        <w:rPr>
          <w:rFonts w:ascii="Arial Narrow" w:hAnsi="Arial Narrow" w:eastAsia="仿宋_GB2312" w:cs="Times New Roman"/>
          <w:color w:val="auto"/>
          <w:sz w:val="32"/>
          <w:szCs w:val="32"/>
          <w:highlight w:val="none"/>
        </w:rPr>
        <w:t>指标完成程度进行量化评价。</w:t>
      </w:r>
      <w:r>
        <w:rPr>
          <w:rFonts w:hint="eastAsia" w:ascii="Arial Narrow" w:hAnsi="Arial Narrow" w:eastAsia="仿宋_GB2312" w:cs="Times New Roman"/>
          <w:color w:val="auto"/>
          <w:sz w:val="32"/>
          <w:szCs w:val="32"/>
          <w:highlight w:val="none"/>
          <w:lang w:val="en-US" w:eastAsia="zh-CN"/>
        </w:rPr>
        <w:t>如设置“干部职工对机关日常维护质量以及效率的满意程度”指标目标值≥95%。</w:t>
      </w:r>
    </w:p>
    <w:p>
      <w:pPr>
        <w:numPr>
          <w:ilvl w:val="0"/>
          <w:numId w:val="0"/>
        </w:numPr>
        <w:ind w:left="0" w:leftChars="0" w:firstLine="640" w:firstLineChars="200"/>
        <w:rPr>
          <w:rFonts w:hint="eastAsia" w:ascii="Arial Narrow" w:hAnsi="Arial Narrow" w:eastAsia="仿宋_GB2312" w:cs="Times New Roman"/>
          <w:color w:val="auto"/>
          <w:sz w:val="32"/>
          <w:szCs w:val="32"/>
          <w:highlight w:val="none"/>
          <w:lang w:val="en-US" w:eastAsia="zh-CN"/>
        </w:rPr>
      </w:pPr>
      <w:r>
        <w:rPr>
          <w:rFonts w:hint="eastAsia" w:ascii="Arial Narrow" w:hAnsi="Arial Narrow" w:eastAsia="仿宋_GB2312" w:cs="仿宋_GB2312"/>
          <w:color w:val="auto"/>
          <w:sz w:val="32"/>
          <w:szCs w:val="32"/>
          <w:highlight w:val="none"/>
          <w:lang w:val="en-US" w:eastAsia="zh-CN"/>
        </w:rPr>
        <w:t>四是</w:t>
      </w:r>
      <w:r>
        <w:rPr>
          <w:rFonts w:hint="eastAsia" w:ascii="Arial Narrow" w:hAnsi="Arial Narrow" w:eastAsia="仿宋_GB2312" w:cs="仿宋_GB2312"/>
          <w:color w:val="auto"/>
          <w:sz w:val="32"/>
          <w:szCs w:val="32"/>
          <w:highlight w:val="none"/>
        </w:rPr>
        <w:t>做好调研和计划，充分考虑各项影响因素，合理设置绩效目标值</w:t>
      </w:r>
      <w:r>
        <w:rPr>
          <w:rFonts w:hint="eastAsia" w:ascii="Arial Narrow" w:hAnsi="Arial Narrow" w:eastAsia="仿宋_GB2312" w:cs="仿宋_GB2312"/>
          <w:color w:val="auto"/>
          <w:sz w:val="32"/>
          <w:szCs w:val="32"/>
          <w:highlight w:val="none"/>
          <w:lang w:eastAsia="zh-CN"/>
        </w:rPr>
        <w:t>。</w:t>
      </w:r>
    </w:p>
    <w:p>
      <w:pPr>
        <w:ind w:firstLine="640" w:firstLineChars="200"/>
        <w:outlineLvl w:val="2"/>
        <w:rPr>
          <w:rFonts w:ascii="Arial Narrow" w:hAnsi="Arial Narrow" w:eastAsia="仿宋_GB2312"/>
          <w:color w:val="auto"/>
          <w:sz w:val="32"/>
          <w:szCs w:val="32"/>
          <w:highlight w:val="none"/>
        </w:rPr>
      </w:pPr>
      <w:r>
        <w:rPr>
          <w:rFonts w:hint="eastAsia" w:ascii="Arial Narrow" w:hAnsi="Arial Narrow" w:eastAsia="仿宋_GB2312"/>
          <w:color w:val="auto"/>
          <w:sz w:val="32"/>
          <w:szCs w:val="32"/>
          <w:highlight w:val="none"/>
        </w:rPr>
        <w:t>2.拟与预算安排相结合情况。</w:t>
      </w:r>
    </w:p>
    <w:p>
      <w:pPr>
        <w:adjustRightInd w:val="0"/>
        <w:snapToGrid w:val="0"/>
        <w:spacing w:line="610" w:lineRule="exact"/>
        <w:ind w:firstLine="640" w:firstLineChars="200"/>
        <w:rPr>
          <w:rFonts w:hint="eastAsia" w:ascii="Arial Narrow" w:hAnsi="Arial Narrow" w:eastAsia="仿宋_GB2312" w:cs="仿宋_GB2312"/>
          <w:color w:val="auto"/>
          <w:sz w:val="32"/>
          <w:szCs w:val="32"/>
          <w:highlight w:val="none"/>
          <w:lang w:eastAsia="zh-CN"/>
        </w:rPr>
      </w:pP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lang w:val="en-US" w:eastAsia="zh-CN"/>
        </w:rPr>
        <w:t>1</w:t>
      </w: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rPr>
        <w:t>根据预算执行情况适当调整</w:t>
      </w:r>
      <w:r>
        <w:rPr>
          <w:rFonts w:hint="eastAsia" w:ascii="Arial Narrow" w:hAnsi="Arial Narrow" w:eastAsia="仿宋_GB2312" w:cs="仿宋_GB2312"/>
          <w:color w:val="auto"/>
          <w:sz w:val="32"/>
          <w:szCs w:val="32"/>
          <w:highlight w:val="none"/>
          <w:lang w:val="en-US" w:eastAsia="zh-CN"/>
        </w:rPr>
        <w:t>各</w:t>
      </w:r>
      <w:r>
        <w:rPr>
          <w:rFonts w:hint="eastAsia" w:ascii="Arial Narrow" w:hAnsi="Arial Narrow" w:eastAsia="仿宋_GB2312" w:cs="仿宋_GB2312"/>
          <w:color w:val="auto"/>
          <w:sz w:val="32"/>
          <w:szCs w:val="32"/>
          <w:highlight w:val="none"/>
        </w:rPr>
        <w:t>项目</w:t>
      </w:r>
      <w:r>
        <w:rPr>
          <w:rFonts w:hint="eastAsia" w:ascii="Arial Narrow" w:hAnsi="Arial Narrow" w:eastAsia="仿宋_GB2312" w:cs="仿宋_GB2312"/>
          <w:color w:val="auto"/>
          <w:sz w:val="32"/>
          <w:szCs w:val="32"/>
          <w:highlight w:val="none"/>
          <w:lang w:val="en-US" w:eastAsia="zh-CN"/>
        </w:rPr>
        <w:t>资金支出结构</w:t>
      </w:r>
      <w:r>
        <w:rPr>
          <w:rFonts w:hint="eastAsia" w:ascii="Arial Narrow" w:hAnsi="Arial Narrow" w:eastAsia="仿宋_GB2312" w:cs="仿宋_GB2312"/>
          <w:color w:val="auto"/>
          <w:sz w:val="32"/>
          <w:szCs w:val="32"/>
          <w:highlight w:val="none"/>
        </w:rPr>
        <w:t>，实行资金安排与绩效评价结果挂钩机制，同时根据绩效自评结果，确定下一年度预算执行情况及指标完成情况的跟踪监控方向</w:t>
      </w:r>
      <w:r>
        <w:rPr>
          <w:rFonts w:hint="eastAsia" w:ascii="Arial Narrow" w:hAnsi="Arial Narrow" w:eastAsia="仿宋_GB2312" w:cs="仿宋_GB2312"/>
          <w:color w:val="auto"/>
          <w:sz w:val="32"/>
          <w:szCs w:val="32"/>
          <w:highlight w:val="none"/>
          <w:lang w:eastAsia="zh-CN"/>
        </w:rPr>
        <w:t>。</w:t>
      </w:r>
    </w:p>
    <w:p>
      <w:pPr>
        <w:adjustRightInd w:val="0"/>
        <w:snapToGrid w:val="0"/>
        <w:spacing w:line="610" w:lineRule="exact"/>
        <w:ind w:firstLine="640" w:firstLineChars="200"/>
        <w:rPr>
          <w:rFonts w:hint="eastAsia" w:ascii="Arial Narrow" w:hAnsi="Arial Narrow" w:eastAsia="仿宋_GB2312" w:cs="仿宋_GB2312"/>
          <w:color w:val="auto"/>
          <w:sz w:val="32"/>
          <w:szCs w:val="32"/>
          <w:highlight w:val="none"/>
          <w:lang w:eastAsia="zh-CN"/>
        </w:rPr>
      </w:pP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lang w:val="en-US" w:eastAsia="zh-CN"/>
        </w:rPr>
        <w:t>2</w:t>
      </w: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lang w:val="en-US" w:eastAsia="zh-CN"/>
        </w:rPr>
        <w:t>根据绩效自评结果，</w:t>
      </w:r>
      <w:r>
        <w:rPr>
          <w:rFonts w:hint="eastAsia" w:ascii="Arial Narrow" w:hAnsi="Arial Narrow" w:eastAsia="仿宋_GB2312" w:cs="仿宋_GB2312"/>
          <w:color w:val="auto"/>
          <w:sz w:val="32"/>
          <w:szCs w:val="32"/>
          <w:highlight w:val="none"/>
        </w:rPr>
        <w:t>完善绩效指标体系</w:t>
      </w:r>
      <w:r>
        <w:rPr>
          <w:rFonts w:hint="eastAsia" w:ascii="Arial Narrow" w:hAnsi="Arial Narrow" w:eastAsia="仿宋_GB2312" w:cs="仿宋_GB2312"/>
          <w:color w:val="auto"/>
          <w:sz w:val="32"/>
          <w:szCs w:val="32"/>
          <w:highlight w:val="none"/>
          <w:lang w:eastAsia="zh-CN"/>
        </w:rPr>
        <w:t>。</w:t>
      </w:r>
    </w:p>
    <w:p>
      <w:pPr>
        <w:adjustRightInd w:val="0"/>
        <w:snapToGrid w:val="0"/>
        <w:spacing w:line="610" w:lineRule="exact"/>
        <w:ind w:firstLine="640" w:firstLineChars="200"/>
        <w:rPr>
          <w:rFonts w:hint="eastAsia" w:ascii="Arial Narrow" w:hAnsi="Arial Narrow" w:eastAsia="仿宋_GB2312" w:cs="仿宋_GB2312"/>
          <w:color w:val="auto"/>
          <w:sz w:val="32"/>
          <w:szCs w:val="32"/>
          <w:highlight w:val="none"/>
          <w:lang w:val="en-US" w:eastAsia="zh-CN"/>
        </w:rPr>
      </w:pPr>
      <w:r>
        <w:rPr>
          <w:rFonts w:hint="eastAsia" w:ascii="Arial Narrow" w:hAnsi="Arial Narrow" w:eastAsia="仿宋_GB2312" w:cs="仿宋_GB2312"/>
          <w:color w:val="auto"/>
          <w:sz w:val="32"/>
          <w:szCs w:val="32"/>
          <w:highlight w:val="none"/>
          <w:lang w:val="en-US" w:eastAsia="zh-CN"/>
        </w:rPr>
        <w:t>一是</w:t>
      </w:r>
      <w:r>
        <w:rPr>
          <w:rFonts w:ascii="Arial Narrow" w:hAnsi="Arial Narrow" w:eastAsia="仿宋_GB2312" w:cs="仿宋_GB2312"/>
          <w:color w:val="auto"/>
          <w:sz w:val="32"/>
          <w:szCs w:val="32"/>
          <w:highlight w:val="none"/>
        </w:rPr>
        <w:t>设置可量化的效益指标</w:t>
      </w: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lang w:val="en-US" w:eastAsia="zh-CN"/>
        </w:rPr>
        <w:t>如</w:t>
      </w:r>
      <w:r>
        <w:rPr>
          <w:rFonts w:hint="eastAsia" w:ascii="Arial Narrow" w:hAnsi="Arial Narrow" w:eastAsia="仿宋_GB2312" w:cs="仿宋_GB2312"/>
          <w:color w:val="auto"/>
          <w:sz w:val="32"/>
          <w:szCs w:val="32"/>
          <w:highlight w:val="none"/>
        </w:rPr>
        <w:t>将“发挥政协在国家治理中的作用”指标修改为“建言资政、凝聚共识履职程度”指标，指标目标值为</w:t>
      </w:r>
      <w:r>
        <w:rPr>
          <w:rFonts w:hint="eastAsia" w:ascii="Arial Narrow" w:hAnsi="Arial Narrow" w:eastAsia="仿宋_GB2312" w:cs="仿宋_GB2312"/>
          <w:color w:val="auto"/>
          <w:sz w:val="32"/>
          <w:szCs w:val="32"/>
          <w:highlight w:val="none"/>
          <w:lang w:val="en-US" w:eastAsia="zh-CN"/>
        </w:rPr>
        <w:t>10</w:t>
      </w:r>
      <w:r>
        <w:rPr>
          <w:rFonts w:hint="eastAsia" w:ascii="Arial Narrow" w:hAnsi="Arial Narrow" w:eastAsia="仿宋_GB2312" w:cs="仿宋_GB2312"/>
          <w:color w:val="auto"/>
          <w:sz w:val="32"/>
          <w:szCs w:val="32"/>
          <w:highlight w:val="none"/>
        </w:rPr>
        <w:t>0%</w:t>
      </w:r>
      <w:r>
        <w:rPr>
          <w:rFonts w:hint="eastAsia" w:ascii="Arial Narrow" w:hAnsi="Arial Narrow" w:eastAsia="仿宋_GB2312" w:cs="仿宋_GB2312"/>
          <w:color w:val="auto"/>
          <w:sz w:val="32"/>
          <w:szCs w:val="32"/>
          <w:highlight w:val="none"/>
          <w:lang w:eastAsia="zh-CN"/>
        </w:rPr>
        <w:t>；</w:t>
      </w:r>
      <w:r>
        <w:rPr>
          <w:rFonts w:ascii="Arial Narrow" w:hAnsi="Arial Narrow" w:eastAsia="仿宋_GB2312" w:cs="仿宋_GB2312"/>
          <w:color w:val="auto"/>
          <w:sz w:val="32"/>
          <w:szCs w:val="32"/>
          <w:highlight w:val="none"/>
        </w:rPr>
        <w:t>将</w:t>
      </w:r>
      <w:r>
        <w:rPr>
          <w:rFonts w:hint="eastAsia" w:ascii="Arial Narrow" w:hAnsi="Arial Narrow" w:eastAsia="仿宋_GB2312" w:cs="仿宋_GB2312"/>
          <w:color w:val="auto"/>
          <w:sz w:val="32"/>
          <w:szCs w:val="32"/>
          <w:highlight w:val="none"/>
        </w:rPr>
        <w:t>“开展界别活动对社会的影响力”指标修改为“界别活动社会影响度”指标，指标目标值为100%</w:t>
      </w: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lang w:val="en-US" w:eastAsia="zh-CN"/>
        </w:rPr>
        <w:t>将</w:t>
      </w:r>
      <w:r>
        <w:rPr>
          <w:rFonts w:hint="eastAsia" w:ascii="Arial Narrow" w:hAnsi="Arial Narrow" w:eastAsia="仿宋_GB2312" w:cs="Times New Roman"/>
          <w:color w:val="auto"/>
          <w:sz w:val="32"/>
          <w:szCs w:val="32"/>
          <w:highlight w:val="none"/>
          <w:lang w:val="en-US" w:eastAsia="zh-CN"/>
        </w:rPr>
        <w:t>“通过机关日常保障和物业管理，提供良好的办公条件”指标修改为“办公环境保障度”指标，指标目标值为95%；</w:t>
      </w:r>
      <w:r>
        <w:rPr>
          <w:rFonts w:hint="eastAsia" w:ascii="Arial Narrow" w:hAnsi="Arial Narrow" w:eastAsia="仿宋_GB2312" w:cs="仿宋_GB2312"/>
          <w:color w:val="auto"/>
          <w:sz w:val="32"/>
          <w:szCs w:val="32"/>
          <w:highlight w:val="none"/>
        </w:rPr>
        <w:t>将“提案追踪宣传效果”指标修改为“提案追踪全年累计观看人数”指标，指标目标值为1700万人</w:t>
      </w: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lang w:val="en-US" w:eastAsia="zh-CN"/>
        </w:rPr>
        <w:t>新增</w:t>
      </w:r>
      <w:r>
        <w:rPr>
          <w:rFonts w:hint="eastAsia" w:ascii="Arial Narrow" w:hAnsi="Arial Narrow" w:eastAsia="仿宋_GB2312" w:cs="仿宋_GB2312"/>
          <w:color w:val="auto"/>
          <w:sz w:val="32"/>
          <w:szCs w:val="32"/>
          <w:highlight w:val="none"/>
          <w:lang w:eastAsia="zh-CN"/>
        </w:rPr>
        <w:t>“调研信息结果运用率”指标，指标目标值为20%；</w:t>
      </w:r>
      <w:r>
        <w:rPr>
          <w:rFonts w:hint="eastAsia" w:ascii="Arial Narrow" w:hAnsi="Arial Narrow" w:eastAsia="仿宋_GB2312" w:cs="仿宋_GB2312"/>
          <w:color w:val="auto"/>
          <w:sz w:val="32"/>
          <w:szCs w:val="32"/>
          <w:highlight w:val="none"/>
          <w:lang w:val="en-US" w:eastAsia="zh-CN"/>
        </w:rPr>
        <w:t>新增</w:t>
      </w:r>
      <w:r>
        <w:rPr>
          <w:rFonts w:hint="eastAsia" w:ascii="Arial Narrow" w:hAnsi="Arial Narrow" w:eastAsia="仿宋_GB2312" w:cs="仿宋_GB2312"/>
          <w:color w:val="auto"/>
          <w:sz w:val="32"/>
          <w:szCs w:val="32"/>
          <w:highlight w:val="none"/>
          <w:lang w:eastAsia="zh-CN"/>
        </w:rPr>
        <w:t>“社情民意反馈度”指标，指标目标值为100%</w:t>
      </w:r>
      <w:r>
        <w:rPr>
          <w:rFonts w:hint="eastAsia" w:ascii="Arial Narrow" w:hAnsi="Arial Narrow" w:eastAsia="仿宋_GB2312" w:cs="仿宋_GB2312"/>
          <w:color w:val="auto"/>
          <w:sz w:val="32"/>
          <w:szCs w:val="32"/>
          <w:highlight w:val="none"/>
          <w:lang w:val="en-US" w:eastAsia="zh-CN"/>
        </w:rPr>
        <w:t>等。</w:t>
      </w:r>
    </w:p>
    <w:p>
      <w:pPr>
        <w:adjustRightInd w:val="0"/>
        <w:snapToGrid w:val="0"/>
        <w:spacing w:line="610" w:lineRule="exact"/>
        <w:ind w:firstLine="640" w:firstLineChars="200"/>
        <w:rPr>
          <w:rFonts w:hint="eastAsia" w:ascii="Arial Narrow" w:hAnsi="Arial Narrow" w:eastAsia="仿宋_GB2312" w:cs="仿宋_GB2312"/>
          <w:color w:val="auto"/>
          <w:sz w:val="32"/>
          <w:szCs w:val="32"/>
          <w:highlight w:val="none"/>
          <w:lang w:val="en-US" w:eastAsia="zh-CN"/>
        </w:rPr>
      </w:pPr>
      <w:r>
        <w:rPr>
          <w:rFonts w:hint="eastAsia" w:ascii="Arial Narrow" w:hAnsi="Arial Narrow" w:eastAsia="仿宋_GB2312" w:cs="仿宋_GB2312"/>
          <w:color w:val="auto"/>
          <w:sz w:val="32"/>
          <w:szCs w:val="32"/>
          <w:highlight w:val="none"/>
          <w:lang w:val="en-US" w:eastAsia="zh-CN"/>
        </w:rPr>
        <w:t>二是</w:t>
      </w:r>
      <w:r>
        <w:rPr>
          <w:rFonts w:hint="eastAsia" w:ascii="Arial Narrow" w:hAnsi="Arial Narrow" w:eastAsia="仿宋_GB2312" w:cs="仿宋_GB2312"/>
          <w:color w:val="auto"/>
          <w:sz w:val="32"/>
          <w:szCs w:val="32"/>
          <w:highlight w:val="none"/>
        </w:rPr>
        <w:t>将</w:t>
      </w:r>
      <w:r>
        <w:rPr>
          <w:rFonts w:hint="eastAsia" w:ascii="Arial Narrow" w:hAnsi="Arial Narrow" w:eastAsia="仿宋_GB2312" w:cs="仿宋_GB2312"/>
          <w:color w:val="auto"/>
          <w:sz w:val="32"/>
          <w:szCs w:val="32"/>
          <w:highlight w:val="none"/>
          <w:lang w:val="en-US" w:eastAsia="zh-CN"/>
        </w:rPr>
        <w:t>评价方向相似的指标进行合并汇总，</w:t>
      </w:r>
      <w:r>
        <w:rPr>
          <w:rFonts w:hint="eastAsia" w:ascii="Arial Narrow" w:hAnsi="Arial Narrow" w:eastAsia="仿宋_GB2312" w:cs="仿宋_GB2312"/>
          <w:color w:val="auto"/>
          <w:sz w:val="32"/>
          <w:szCs w:val="32"/>
          <w:highlight w:val="none"/>
        </w:rPr>
        <w:t>“国家领导人视察调研接待次数”、“国家机关（副）部级领导考察、调研接待次数”、“兄弟省市领导考察、调研接待次数”3个指标合并修改为“接待考察、视察调研次数”指标</w:t>
      </w:r>
      <w:r>
        <w:rPr>
          <w:rFonts w:hint="eastAsia" w:ascii="Arial Narrow" w:hAnsi="Arial Narrow" w:eastAsia="仿宋_GB2312" w:cs="仿宋_GB2312"/>
          <w:color w:val="auto"/>
          <w:sz w:val="32"/>
          <w:szCs w:val="32"/>
          <w:highlight w:val="none"/>
          <w:lang w:eastAsia="zh-CN"/>
        </w:rPr>
        <w:t>，</w:t>
      </w:r>
      <w:r>
        <w:rPr>
          <w:rFonts w:hint="eastAsia" w:ascii="Arial Narrow" w:hAnsi="Arial Narrow" w:eastAsia="仿宋_GB2312" w:cs="仿宋_GB2312"/>
          <w:color w:val="auto"/>
          <w:sz w:val="32"/>
          <w:szCs w:val="32"/>
          <w:highlight w:val="none"/>
          <w:lang w:val="en-US" w:eastAsia="zh-CN"/>
        </w:rPr>
        <w:t>指标目标值为20批次。</w:t>
      </w:r>
    </w:p>
    <w:p>
      <w:pPr>
        <w:adjustRightInd w:val="0"/>
        <w:snapToGrid w:val="0"/>
        <w:spacing w:line="610" w:lineRule="exact"/>
        <w:ind w:firstLine="640" w:firstLineChars="200"/>
        <w:rPr>
          <w:rFonts w:hint="default" w:ascii="Arial Narrow" w:hAnsi="Arial Narrow" w:eastAsia="仿宋_GB2312" w:cs="仿宋_GB2312"/>
          <w:color w:val="auto"/>
          <w:sz w:val="32"/>
          <w:szCs w:val="32"/>
          <w:highlight w:val="none"/>
          <w:lang w:val="en-US" w:eastAsia="zh-CN"/>
        </w:rPr>
      </w:pPr>
      <w:r>
        <w:rPr>
          <w:rFonts w:hint="eastAsia" w:ascii="Arial Narrow" w:hAnsi="Arial Narrow" w:eastAsia="仿宋_GB2312" w:cs="仿宋_GB2312"/>
          <w:color w:val="auto"/>
          <w:sz w:val="32"/>
          <w:szCs w:val="32"/>
          <w:highlight w:val="none"/>
          <w:lang w:val="en-US" w:eastAsia="zh-CN"/>
        </w:rPr>
        <w:t>三是将两个满意度指标的目标值调整为</w:t>
      </w:r>
      <w:r>
        <w:rPr>
          <w:rFonts w:hint="eastAsia" w:ascii="Arial Narrow" w:hAnsi="Arial Narrow" w:eastAsia="仿宋_GB2312" w:cs="Times New Roman"/>
          <w:color w:val="auto"/>
          <w:sz w:val="32"/>
          <w:szCs w:val="32"/>
          <w:highlight w:val="none"/>
          <w:lang w:val="en-US" w:eastAsia="zh-CN"/>
        </w:rPr>
        <w:t>≥95%，</w:t>
      </w:r>
      <w:r>
        <w:rPr>
          <w:rFonts w:ascii="Arial Narrow" w:hAnsi="Arial Narrow" w:eastAsia="仿宋_GB2312" w:cs="Times New Roman"/>
          <w:color w:val="auto"/>
          <w:sz w:val="32"/>
          <w:szCs w:val="32"/>
          <w:highlight w:val="none"/>
        </w:rPr>
        <w:t>便于对</w:t>
      </w:r>
      <w:r>
        <w:rPr>
          <w:rFonts w:hint="eastAsia" w:ascii="Arial Narrow" w:hAnsi="Arial Narrow" w:eastAsia="仿宋_GB2312" w:cs="Times New Roman"/>
          <w:color w:val="auto"/>
          <w:sz w:val="32"/>
          <w:szCs w:val="32"/>
          <w:highlight w:val="none"/>
          <w:lang w:val="en-US" w:eastAsia="zh-CN"/>
        </w:rPr>
        <w:t>满意度</w:t>
      </w:r>
      <w:r>
        <w:rPr>
          <w:rFonts w:ascii="Arial Narrow" w:hAnsi="Arial Narrow" w:eastAsia="仿宋_GB2312" w:cs="Times New Roman"/>
          <w:color w:val="auto"/>
          <w:sz w:val="32"/>
          <w:szCs w:val="32"/>
          <w:highlight w:val="none"/>
        </w:rPr>
        <w:t>指标完成程度进行量化评价。</w:t>
      </w:r>
    </w:p>
    <w:p>
      <w:pPr>
        <w:spacing w:line="360" w:lineRule="auto"/>
        <w:ind w:firstLine="640" w:firstLineChars="200"/>
        <w:rPr>
          <w:rFonts w:ascii="Arial Narrow" w:hAnsi="Arial Narrow" w:eastAsia="仿宋_GB2312" w:cs="Times New Roman"/>
          <w:color w:val="auto"/>
          <w:sz w:val="32"/>
          <w:szCs w:val="32"/>
          <w:highlight w:val="none"/>
        </w:rPr>
      </w:pPr>
      <w:r>
        <w:rPr>
          <w:rFonts w:ascii="Arial Narrow" w:hAnsi="Arial Narrow" w:eastAsia="楷体_GB2312" w:cs="楷体_GB2312"/>
          <w:color w:val="auto"/>
          <w:sz w:val="32"/>
          <w:szCs w:val="32"/>
          <w:highlight w:val="none"/>
        </w:rPr>
        <w:t>附件：2020年度</w:t>
      </w:r>
      <w:r>
        <w:rPr>
          <w:rFonts w:hint="eastAsia" w:ascii="Arial Narrow" w:hAnsi="Arial Narrow" w:eastAsia="楷体_GB2312" w:cs="楷体_GB2312"/>
          <w:color w:val="auto"/>
          <w:sz w:val="32"/>
          <w:szCs w:val="32"/>
          <w:highlight w:val="none"/>
        </w:rPr>
        <w:t>湖北省政协办公厅</w:t>
      </w:r>
      <w:r>
        <w:rPr>
          <w:rFonts w:ascii="Arial Narrow" w:hAnsi="Arial Narrow" w:eastAsia="楷体_GB2312" w:cs="楷体_GB2312"/>
          <w:color w:val="auto"/>
          <w:sz w:val="32"/>
          <w:szCs w:val="32"/>
          <w:highlight w:val="none"/>
        </w:rPr>
        <w:t>部门整体自评表</w:t>
      </w:r>
      <w:r>
        <w:rPr>
          <w:rFonts w:ascii="Arial Narrow" w:hAnsi="Arial Narrow" w:eastAsia="楷体" w:cs="楷体"/>
          <w:color w:val="auto"/>
          <w:sz w:val="32"/>
          <w:szCs w:val="32"/>
          <w:highlight w:val="none"/>
        </w:rPr>
        <w:t>。</w:t>
      </w:r>
    </w:p>
    <w:p>
      <w:pPr>
        <w:ind w:firstLine="640" w:firstLineChars="200"/>
        <w:outlineLvl w:val="0"/>
        <w:rPr>
          <w:rFonts w:ascii="Arial Narrow" w:hAnsi="Arial Narrow" w:eastAsia="黑体" w:cs="Times New Roman"/>
          <w:color w:val="auto"/>
          <w:sz w:val="32"/>
          <w:szCs w:val="32"/>
          <w:highlight w:val="none"/>
        </w:rPr>
      </w:pPr>
      <w:r>
        <w:rPr>
          <w:rFonts w:ascii="Arial Narrow" w:hAnsi="Arial Narrow" w:eastAsia="黑体" w:cs="黑体"/>
          <w:color w:val="auto"/>
          <w:sz w:val="32"/>
          <w:szCs w:val="32"/>
          <w:highlight w:val="none"/>
        </w:rPr>
        <w:t>二、佐证材料</w:t>
      </w:r>
    </w:p>
    <w:p>
      <w:pPr>
        <w:ind w:firstLine="640" w:firstLineChars="200"/>
        <w:outlineLvl w:val="1"/>
        <w:rPr>
          <w:rFonts w:ascii="Arial Narrow" w:hAnsi="Arial Narrow" w:eastAsia="楷体_GB2312" w:cs="Times New Roman"/>
          <w:color w:val="auto"/>
          <w:sz w:val="32"/>
          <w:szCs w:val="32"/>
          <w:highlight w:val="none"/>
          <w:shd w:val="clear" w:color="auto" w:fill="F8FAFD" w:themeFill="background1"/>
        </w:rPr>
      </w:pPr>
      <w:r>
        <w:rPr>
          <w:rFonts w:ascii="Arial Narrow" w:hAnsi="Arial Narrow" w:eastAsia="楷体_GB2312" w:cs="楷体_GB2312"/>
          <w:color w:val="auto"/>
          <w:sz w:val="32"/>
          <w:szCs w:val="32"/>
          <w:highlight w:val="none"/>
          <w:shd w:val="clear" w:color="auto" w:fill="F8FAFD" w:themeFill="background1"/>
        </w:rPr>
        <w:t>（一）基本情况</w:t>
      </w:r>
    </w:p>
    <w:p>
      <w:pPr>
        <w:ind w:firstLine="640" w:firstLineChars="200"/>
        <w:outlineLvl w:val="2"/>
        <w:rPr>
          <w:rFonts w:ascii="Arial Narrow" w:hAnsi="Arial Narrow" w:eastAsia="仿宋_GB2312"/>
          <w:color w:val="auto"/>
          <w:sz w:val="32"/>
          <w:szCs w:val="32"/>
          <w:highlight w:val="none"/>
        </w:rPr>
      </w:pPr>
      <w:r>
        <w:rPr>
          <w:rFonts w:ascii="Arial Narrow" w:hAnsi="Arial Narrow" w:eastAsia="仿宋_GB2312"/>
          <w:color w:val="auto"/>
          <w:sz w:val="32"/>
          <w:szCs w:val="32"/>
          <w:highlight w:val="none"/>
        </w:rPr>
        <w:t>1.支出情况以及重点工作。</w:t>
      </w:r>
    </w:p>
    <w:p>
      <w:pPr>
        <w:ind w:firstLine="640" w:firstLineChars="200"/>
        <w:rPr>
          <w:rFonts w:ascii="Arial Narrow" w:hAnsi="Arial Narrow" w:eastAsia="仿宋_GB2312" w:cs="Times New Roman"/>
          <w:color w:val="auto"/>
          <w:sz w:val="32"/>
          <w:szCs w:val="32"/>
          <w:highlight w:val="none"/>
          <w:shd w:val="clear" w:color="auto" w:fill="F8FAFD" w:themeFill="background1"/>
        </w:rPr>
      </w:pPr>
      <w:r>
        <w:rPr>
          <w:rFonts w:ascii="Arial Narrow" w:hAnsi="Arial Narrow" w:eastAsia="仿宋_GB2312" w:cs="Times New Roman"/>
          <w:color w:val="auto"/>
          <w:sz w:val="32"/>
          <w:szCs w:val="32"/>
          <w:highlight w:val="none"/>
          <w:shd w:val="clear" w:color="auto" w:fill="F8FAFD" w:themeFill="background1"/>
        </w:rPr>
        <w:t>（1）支出情况</w:t>
      </w:r>
    </w:p>
    <w:p>
      <w:pPr>
        <w:ind w:firstLine="640" w:firstLineChars="200"/>
        <w:rPr>
          <w:rFonts w:ascii="Arial Narrow" w:hAnsi="Arial Narrow" w:eastAsia="仿宋_GB2312" w:cs="Times New Roman"/>
          <w:color w:val="auto"/>
          <w:sz w:val="32"/>
          <w:szCs w:val="32"/>
          <w:highlight w:val="none"/>
        </w:rPr>
      </w:pPr>
      <w:r>
        <w:rPr>
          <w:rFonts w:hint="eastAsia" w:ascii="Arial Narrow" w:hAnsi="Arial Narrow" w:eastAsia="仿宋_GB2312" w:cs="Times New Roman"/>
          <w:color w:val="auto"/>
          <w:sz w:val="32"/>
          <w:szCs w:val="32"/>
          <w:highlight w:val="none"/>
        </w:rPr>
        <w:t>湖北省政协办公厅</w:t>
      </w:r>
      <w:r>
        <w:rPr>
          <w:rFonts w:ascii="Arial Narrow" w:hAnsi="Arial Narrow" w:eastAsia="仿宋_GB2312" w:cs="Times New Roman"/>
          <w:color w:val="auto"/>
          <w:sz w:val="32"/>
          <w:szCs w:val="32"/>
          <w:highlight w:val="none"/>
        </w:rPr>
        <w:t>部门整体</w:t>
      </w:r>
      <w:r>
        <w:rPr>
          <w:rFonts w:hint="eastAsia" w:ascii="Arial Narrow" w:hAnsi="Arial Narrow" w:eastAsia="仿宋_GB2312" w:cs="Times New Roman"/>
          <w:color w:val="auto"/>
          <w:sz w:val="32"/>
          <w:szCs w:val="32"/>
          <w:highlight w:val="none"/>
        </w:rPr>
        <w:t>年初预算数12,451.37万元，调整后预算数12,463.97万元</w:t>
      </w:r>
      <w:r>
        <w:rPr>
          <w:rFonts w:ascii="Arial Narrow" w:hAnsi="Arial Narrow" w:eastAsia="仿宋_GB2312" w:cs="Times New Roman"/>
          <w:color w:val="auto"/>
          <w:sz w:val="32"/>
          <w:szCs w:val="32"/>
          <w:highlight w:val="none"/>
        </w:rPr>
        <w:t>，较年初预算调</w:t>
      </w:r>
      <w:r>
        <w:rPr>
          <w:rFonts w:hint="eastAsia" w:ascii="Arial Narrow" w:hAnsi="Arial Narrow" w:eastAsia="仿宋_GB2312" w:cs="Times New Roman"/>
          <w:color w:val="auto"/>
          <w:sz w:val="32"/>
          <w:szCs w:val="32"/>
          <w:highlight w:val="none"/>
        </w:rPr>
        <w:t>增12.60</w:t>
      </w:r>
      <w:r>
        <w:rPr>
          <w:rFonts w:ascii="Arial Narrow" w:hAnsi="Arial Narrow" w:eastAsia="仿宋_GB2312" w:cs="Times New Roman"/>
          <w:color w:val="auto"/>
          <w:sz w:val="32"/>
          <w:szCs w:val="32"/>
          <w:highlight w:val="none"/>
        </w:rPr>
        <w:t>万元，预算调整率0.10%。</w:t>
      </w:r>
    </w:p>
    <w:p>
      <w:pPr>
        <w:ind w:firstLine="640" w:firstLineChars="200"/>
        <w:rPr>
          <w:rFonts w:ascii="Arial Narrow" w:hAnsi="Arial Narrow" w:eastAsia="仿宋_GB2312" w:cs="Times New Roman"/>
          <w:color w:val="auto"/>
          <w:sz w:val="32"/>
          <w:szCs w:val="32"/>
          <w:highlight w:val="none"/>
        </w:rPr>
      </w:pPr>
      <w:r>
        <w:rPr>
          <w:rFonts w:ascii="Arial Narrow" w:hAnsi="Arial Narrow" w:eastAsia="仿宋_GB2312" w:cs="Times New Roman"/>
          <w:color w:val="auto"/>
          <w:sz w:val="32"/>
          <w:szCs w:val="32"/>
          <w:highlight w:val="none"/>
        </w:rPr>
        <w:t>预算执行数</w:t>
      </w:r>
      <w:r>
        <w:rPr>
          <w:rFonts w:hint="eastAsia" w:ascii="Arial Narrow" w:hAnsi="Arial Narrow" w:eastAsia="仿宋_GB2312" w:cs="Times New Roman"/>
          <w:color w:val="auto"/>
          <w:sz w:val="32"/>
          <w:szCs w:val="32"/>
          <w:highlight w:val="none"/>
        </w:rPr>
        <w:t>11,168.88</w:t>
      </w:r>
      <w:r>
        <w:rPr>
          <w:rFonts w:ascii="Arial Narrow" w:hAnsi="Arial Narrow" w:eastAsia="仿宋_GB2312" w:cs="Times New Roman"/>
          <w:color w:val="auto"/>
          <w:sz w:val="32"/>
          <w:szCs w:val="32"/>
          <w:highlight w:val="none"/>
        </w:rPr>
        <w:t>万元，预算执行率</w:t>
      </w:r>
      <w:r>
        <w:rPr>
          <w:rFonts w:hint="eastAsia" w:ascii="Arial Narrow" w:hAnsi="Arial Narrow" w:eastAsia="仿宋_GB2312" w:cs="Times New Roman"/>
          <w:color w:val="auto"/>
          <w:sz w:val="32"/>
          <w:szCs w:val="32"/>
          <w:highlight w:val="none"/>
        </w:rPr>
        <w:t>89.61%</w:t>
      </w:r>
      <w:r>
        <w:rPr>
          <w:rFonts w:ascii="Arial Narrow" w:hAnsi="Arial Narrow" w:eastAsia="仿宋_GB2312" w:cs="Times New Roman"/>
          <w:color w:val="auto"/>
          <w:sz w:val="32"/>
          <w:szCs w:val="32"/>
          <w:highlight w:val="none"/>
        </w:rPr>
        <w:t>。其中：基本支出</w:t>
      </w:r>
      <w:r>
        <w:rPr>
          <w:rFonts w:hint="eastAsia" w:ascii="Arial Narrow" w:hAnsi="Arial Narrow" w:eastAsia="仿宋_GB2312" w:cs="Times New Roman"/>
          <w:color w:val="auto"/>
          <w:sz w:val="32"/>
          <w:szCs w:val="32"/>
          <w:highlight w:val="none"/>
        </w:rPr>
        <w:t>7,329.41</w:t>
      </w:r>
      <w:r>
        <w:rPr>
          <w:rFonts w:ascii="Arial Narrow" w:hAnsi="Arial Narrow" w:eastAsia="仿宋_GB2312" w:cs="Times New Roman"/>
          <w:color w:val="auto"/>
          <w:sz w:val="32"/>
          <w:szCs w:val="32"/>
          <w:highlight w:val="none"/>
        </w:rPr>
        <w:t>万元，预算执行率</w:t>
      </w:r>
      <w:r>
        <w:rPr>
          <w:rFonts w:hint="eastAsia" w:ascii="Arial Narrow" w:hAnsi="Arial Narrow" w:eastAsia="仿宋_GB2312" w:cs="Times New Roman"/>
          <w:color w:val="auto"/>
          <w:sz w:val="32"/>
          <w:szCs w:val="32"/>
          <w:highlight w:val="none"/>
        </w:rPr>
        <w:t>97.90%</w:t>
      </w:r>
      <w:r>
        <w:rPr>
          <w:rFonts w:ascii="Arial Narrow" w:hAnsi="Arial Narrow" w:eastAsia="仿宋_GB2312" w:cs="Times New Roman"/>
          <w:color w:val="auto"/>
          <w:sz w:val="32"/>
          <w:szCs w:val="32"/>
          <w:highlight w:val="none"/>
        </w:rPr>
        <w:t>；项目支出</w:t>
      </w:r>
      <w:r>
        <w:rPr>
          <w:rFonts w:hint="eastAsia" w:ascii="Arial Narrow" w:hAnsi="Arial Narrow" w:eastAsia="仿宋_GB2312" w:cs="Times New Roman"/>
          <w:color w:val="auto"/>
          <w:sz w:val="32"/>
          <w:szCs w:val="32"/>
          <w:highlight w:val="none"/>
        </w:rPr>
        <w:t>3,839.47</w:t>
      </w:r>
      <w:r>
        <w:rPr>
          <w:rFonts w:ascii="Arial Narrow" w:hAnsi="Arial Narrow" w:eastAsia="仿宋_GB2312" w:cs="Times New Roman"/>
          <w:color w:val="auto"/>
          <w:sz w:val="32"/>
          <w:szCs w:val="32"/>
          <w:highlight w:val="none"/>
        </w:rPr>
        <w:t>万元，预算执行率</w:t>
      </w:r>
      <w:r>
        <w:rPr>
          <w:rFonts w:hint="eastAsia" w:ascii="Arial Narrow" w:hAnsi="Arial Narrow" w:eastAsia="仿宋_GB2312" w:cs="Times New Roman"/>
          <w:color w:val="auto"/>
          <w:sz w:val="32"/>
          <w:szCs w:val="32"/>
          <w:highlight w:val="none"/>
        </w:rPr>
        <w:t>77.13%</w:t>
      </w:r>
      <w:r>
        <w:rPr>
          <w:rFonts w:ascii="Arial Narrow" w:hAnsi="Arial Narrow" w:eastAsia="仿宋_GB2312" w:cs="Times New Roman"/>
          <w:color w:val="auto"/>
          <w:sz w:val="32"/>
          <w:szCs w:val="32"/>
          <w:highlight w:val="none"/>
        </w:rPr>
        <w:t>。</w:t>
      </w:r>
    </w:p>
    <w:p>
      <w:pPr>
        <w:ind w:firstLine="640" w:firstLineChars="200"/>
        <w:rPr>
          <w:rFonts w:ascii="Arial Narrow" w:hAnsi="Arial Narrow" w:eastAsia="仿宋_GB2312" w:cs="仿宋_GB2312"/>
          <w:color w:val="auto"/>
          <w:sz w:val="32"/>
          <w:szCs w:val="32"/>
          <w:highlight w:val="none"/>
          <w:shd w:val="clear" w:color="auto" w:fill="F8FAFD" w:themeFill="background1"/>
        </w:rPr>
      </w:pPr>
      <w:r>
        <w:rPr>
          <w:rFonts w:ascii="Arial Narrow" w:hAnsi="Arial Narrow" w:eastAsia="仿宋_GB2312" w:cs="Times New Roman"/>
          <w:color w:val="auto"/>
          <w:sz w:val="32"/>
          <w:szCs w:val="32"/>
          <w:highlight w:val="none"/>
          <w:shd w:val="clear" w:color="auto" w:fill="F8FAFD" w:themeFill="background1"/>
        </w:rPr>
        <w:t>（2）</w:t>
      </w:r>
      <w:r>
        <w:rPr>
          <w:rFonts w:ascii="Arial Narrow" w:hAnsi="Arial Narrow" w:eastAsia="仿宋_GB2312" w:cs="仿宋_GB2312"/>
          <w:color w:val="auto"/>
          <w:sz w:val="32"/>
          <w:szCs w:val="32"/>
          <w:highlight w:val="none"/>
          <w:shd w:val="clear" w:color="auto" w:fill="F8FAFD" w:themeFill="background1"/>
        </w:rPr>
        <w:t>重点工作</w:t>
      </w:r>
    </w:p>
    <w:p>
      <w:pPr>
        <w:ind w:firstLine="640" w:firstLineChars="200"/>
        <w:rPr>
          <w:rFonts w:ascii="Arial Narrow" w:hAnsi="Arial Narrow" w:eastAsia="仿宋_GB2312" w:cs="仿宋_GB2312"/>
          <w:color w:val="auto"/>
          <w:sz w:val="32"/>
          <w:szCs w:val="32"/>
          <w:highlight w:val="none"/>
          <w:shd w:val="clear" w:color="auto" w:fill="F8FAFD" w:themeFill="background1"/>
        </w:rPr>
      </w:pPr>
      <w:r>
        <w:rPr>
          <w:rFonts w:hint="eastAsia" w:ascii="Arial Narrow" w:hAnsi="Arial Narrow" w:eastAsia="仿宋_GB2312" w:cs="仿宋_GB2312"/>
          <w:color w:val="auto"/>
          <w:sz w:val="32"/>
          <w:szCs w:val="32"/>
          <w:highlight w:val="none"/>
          <w:shd w:val="clear" w:color="auto" w:fill="F8FAFD" w:themeFill="background1"/>
        </w:rPr>
        <w:t>以习近平新时代中国特色社会主义思想为指导，全面贯彻党的十九大和十九届二中、三中、四中全会、中央经济工作会议精神，深入贯彻习近平总书记视察湖北重要讲话精神，认真落实省委十一届五次全会、中共湖北省委政协工作会议部署，统筹推进“五位一体”总体布局，协调推进“四个全面”战略布局，深入落实“四个着力”“四个切实”；2020年将以学习贯彻习近平总书记关于加强和改进人民政协工作的重要思想为引领，进一步强化党对政协工作的领导，发挥好政协党组的领导作用；进一步完善政协系统党的组织体系，认真贯彻中共中央印发的《关于加强新时代人民政协党的建设工作的若干意见》，省委办公厅印发的《关于加强新时代全省政协党的建设工作的实施意见》；进一步发挥政协优势，在发展中国特色社会主义协商民主、发挥政协组织统一战线功能、构建网上网下同心圆上作出新的探索；进一步推进省、市、县三级党政主要领导督办重点提案并实现全覆盖，推动提案办理落实落地、提案工作提质增效；进一步完善政协协商议政格局，形成以全体会议为龙头，以议政性常委会议为重点，以月度专题协商会以及对口协商、界别协商、提案办理协商、网络协商为常态的协商议政格局；进一步推进“探索网络议政、远程协商新形式”改革，大力实施履职能力水平提升工程，不断提高议政质量；进一步对标党中央和全国政协部署要求，找差距、找短板，推进政协工作高质量发展。</w:t>
      </w:r>
    </w:p>
    <w:p>
      <w:pPr>
        <w:ind w:firstLine="640" w:firstLineChars="200"/>
        <w:rPr>
          <w:rFonts w:ascii="Arial Narrow" w:hAnsi="Arial Narrow" w:eastAsia="仿宋_GB2312" w:cs="仿宋_GB2312"/>
          <w:color w:val="auto"/>
          <w:sz w:val="32"/>
          <w:szCs w:val="32"/>
          <w:highlight w:val="none"/>
          <w:shd w:val="clear" w:color="auto" w:fill="F8FAFD" w:themeFill="background1"/>
        </w:rPr>
      </w:pPr>
      <w:r>
        <w:rPr>
          <w:rFonts w:hint="eastAsia" w:ascii="Arial Narrow" w:hAnsi="Arial Narrow" w:eastAsia="仿宋_GB2312" w:cs="仿宋_GB2312"/>
          <w:color w:val="auto"/>
          <w:sz w:val="32"/>
          <w:szCs w:val="32"/>
          <w:highlight w:val="none"/>
          <w:shd w:val="clear" w:color="auto" w:fill="F8FAFD" w:themeFill="background1"/>
        </w:rPr>
        <w:t>1）认真贯彻落实党的十九大和十九届二中、三中、四中全会、全国“两会”、中共湖北省委十一届五次全体会议、中共湖北省委政协工作会议和省“两会”精神，努力做好主席会议、常委会议、月度专题协商会、市州政协主席座谈会、省政协经济形势分析座谈会、大别山革命老区鄂豫皖三省政协主席座谈会等会议的服务工作；</w:t>
      </w:r>
    </w:p>
    <w:p>
      <w:pPr>
        <w:ind w:firstLine="640" w:firstLineChars="200"/>
        <w:rPr>
          <w:rFonts w:ascii="Arial Narrow" w:hAnsi="Arial Narrow" w:eastAsia="仿宋_GB2312" w:cs="仿宋_GB2312"/>
          <w:color w:val="auto"/>
          <w:sz w:val="32"/>
          <w:szCs w:val="32"/>
          <w:highlight w:val="none"/>
          <w:shd w:val="clear" w:color="auto" w:fill="F8FAFD" w:themeFill="background1"/>
        </w:rPr>
      </w:pPr>
      <w:r>
        <w:rPr>
          <w:rFonts w:hint="eastAsia" w:ascii="Arial Narrow" w:hAnsi="Arial Narrow" w:eastAsia="仿宋_GB2312" w:cs="仿宋_GB2312"/>
          <w:color w:val="auto"/>
          <w:sz w:val="32"/>
          <w:szCs w:val="32"/>
          <w:highlight w:val="none"/>
          <w:shd w:val="clear" w:color="auto" w:fill="F8FAFD" w:themeFill="background1"/>
        </w:rPr>
        <w:t>2）做好提案工作。坚持以质为帅，加强提案策划，增加集体提案比重，促进提案质量提升；做好省委、省政府、省政协领导领办、督办重点提案的组织服务工作，切实增强提案办理实效；认真做好省政协十二届三次会议提案审查和交办工作，加大重点提案及办理效果的宣传；</w:t>
      </w:r>
    </w:p>
    <w:p>
      <w:pPr>
        <w:ind w:firstLine="640" w:firstLineChars="200"/>
        <w:rPr>
          <w:rFonts w:ascii="Arial Narrow" w:hAnsi="Arial Narrow" w:eastAsia="仿宋_GB2312" w:cs="仿宋_GB2312"/>
          <w:color w:val="auto"/>
          <w:sz w:val="32"/>
          <w:szCs w:val="32"/>
          <w:highlight w:val="none"/>
          <w:shd w:val="clear" w:color="auto" w:fill="F8FAFD" w:themeFill="background1"/>
        </w:rPr>
      </w:pPr>
      <w:r>
        <w:rPr>
          <w:rFonts w:hint="eastAsia" w:ascii="Arial Narrow" w:hAnsi="Arial Narrow" w:eastAsia="仿宋_GB2312" w:cs="仿宋_GB2312"/>
          <w:color w:val="auto"/>
          <w:sz w:val="32"/>
          <w:szCs w:val="32"/>
          <w:highlight w:val="none"/>
          <w:shd w:val="clear" w:color="auto" w:fill="F8FAFD" w:themeFill="background1"/>
        </w:rPr>
        <w:t>3）做好委员视察考察调研工作。加强委员视察考察调研工作的统筹，做好省政协视察、考察、调研活动的组织、协调、服务工作，改进调研工作，提高议政建言质量，加强议政建言成果转化运用和反馈工作。</w:t>
      </w:r>
    </w:p>
    <w:p>
      <w:pPr>
        <w:ind w:firstLine="640" w:firstLineChars="200"/>
        <w:rPr>
          <w:rFonts w:ascii="Arial Narrow" w:hAnsi="Arial Narrow" w:eastAsia="仿宋_GB2312" w:cs="仿宋_GB2312"/>
          <w:color w:val="auto"/>
          <w:sz w:val="32"/>
          <w:szCs w:val="32"/>
          <w:highlight w:val="none"/>
          <w:shd w:val="clear" w:color="auto" w:fill="F8FAFD" w:themeFill="background1"/>
        </w:rPr>
      </w:pPr>
      <w:r>
        <w:rPr>
          <w:rFonts w:hint="eastAsia" w:ascii="Arial Narrow" w:hAnsi="Arial Narrow" w:eastAsia="仿宋_GB2312" w:cs="仿宋_GB2312"/>
          <w:color w:val="auto"/>
          <w:sz w:val="32"/>
          <w:szCs w:val="32"/>
          <w:highlight w:val="none"/>
          <w:shd w:val="clear" w:color="auto" w:fill="F8FAFD" w:themeFill="background1"/>
        </w:rPr>
        <w:t>4）做好反映社情民意的信息工作。办好《社情民意专报》、《湖北政协简报》等信息刊物，提高办刊质量；加强信息策划，提高社情民意信息工作实效；</w:t>
      </w:r>
    </w:p>
    <w:p>
      <w:pPr>
        <w:ind w:firstLine="640" w:firstLineChars="200"/>
        <w:rPr>
          <w:rFonts w:ascii="Arial Narrow" w:hAnsi="Arial Narrow" w:eastAsia="仿宋_GB2312" w:cs="仿宋_GB2312"/>
          <w:color w:val="auto"/>
          <w:sz w:val="32"/>
          <w:szCs w:val="32"/>
          <w:highlight w:val="none"/>
          <w:shd w:val="clear" w:color="auto" w:fill="F8FAFD" w:themeFill="background1"/>
        </w:rPr>
      </w:pPr>
      <w:r>
        <w:rPr>
          <w:rFonts w:hint="eastAsia" w:ascii="Arial Narrow" w:hAnsi="Arial Narrow" w:eastAsia="仿宋_GB2312" w:cs="仿宋_GB2312"/>
          <w:color w:val="auto"/>
          <w:sz w:val="32"/>
          <w:szCs w:val="32"/>
          <w:highlight w:val="none"/>
          <w:shd w:val="clear" w:color="auto" w:fill="F8FAFD" w:themeFill="background1"/>
        </w:rPr>
        <w:t>5）做好文史和委员学习工作。做好《湖北政协年鉴2019》《建言立论》和文史资料的编辑出版工作，办好《湖北文史》《学习与思考》；做好委员的学习培训工作，组织在汉省政协委员学习报告会，传达学习全国“两会”精神；围绕省政协议政性常委会主题，举办常委会组成人员专题讲座;举办省政协委员学习培训班和履职能力提升专题培训班；</w:t>
      </w:r>
    </w:p>
    <w:p>
      <w:pPr>
        <w:ind w:firstLine="640" w:firstLineChars="200"/>
        <w:rPr>
          <w:rFonts w:ascii="Arial Narrow" w:hAnsi="Arial Narrow" w:eastAsia="仿宋_GB2312" w:cs="仿宋_GB2312"/>
          <w:color w:val="auto"/>
          <w:sz w:val="32"/>
          <w:szCs w:val="32"/>
          <w:highlight w:val="none"/>
          <w:shd w:val="clear" w:color="auto" w:fill="F8FAFD" w:themeFill="background1"/>
        </w:rPr>
      </w:pPr>
      <w:r>
        <w:rPr>
          <w:rFonts w:hint="eastAsia" w:ascii="Arial Narrow" w:hAnsi="Arial Narrow" w:eastAsia="仿宋_GB2312" w:cs="仿宋_GB2312"/>
          <w:color w:val="auto"/>
          <w:sz w:val="32"/>
          <w:szCs w:val="32"/>
          <w:highlight w:val="none"/>
          <w:shd w:val="clear" w:color="auto" w:fill="F8FAFD" w:themeFill="background1"/>
        </w:rPr>
        <w:t>6）做好团结联谊和对外友好交往工作。定期走访省各民主党派、工商联，完善联合调研、联合视察、联合监督的制度化安排，建立资源信息共享工作机制；办好迎新年茶话会，营造团结和谐氛围；加强界别建设，打造更多的界别活动载体和平台，增进广大政协委员和各族各界人士的交流与友谊；做好新形势下政协群众工作，积极为群众办好事、办实事；积极宣传、全面贯彻执行党的民族宗教政策，促进民族和睦、宗教和顺；密切与港澳台侨各界人士的联系，重视发挥香港湖北联谊会等港澳台侨社团的作用，促进我省与港澳台侨在经济、文化、科技等领域的交流与合作；</w:t>
      </w:r>
    </w:p>
    <w:p>
      <w:pPr>
        <w:ind w:firstLine="640" w:firstLineChars="200"/>
        <w:rPr>
          <w:rFonts w:ascii="Arial Narrow" w:hAnsi="Arial Narrow" w:eastAsia="仿宋_GB2312" w:cs="仿宋_GB2312"/>
          <w:color w:val="auto"/>
          <w:sz w:val="32"/>
          <w:szCs w:val="32"/>
          <w:highlight w:val="none"/>
          <w:shd w:val="clear" w:color="auto" w:fill="F8FAFD" w:themeFill="background1"/>
        </w:rPr>
      </w:pPr>
      <w:r>
        <w:rPr>
          <w:rFonts w:hint="eastAsia" w:ascii="Arial Narrow" w:hAnsi="Arial Narrow" w:eastAsia="仿宋_GB2312" w:cs="仿宋_GB2312"/>
          <w:color w:val="auto"/>
          <w:sz w:val="32"/>
          <w:szCs w:val="32"/>
          <w:highlight w:val="none"/>
          <w:shd w:val="clear" w:color="auto" w:fill="F8FAFD" w:themeFill="background1"/>
        </w:rPr>
        <w:t>7）做好政协理论研究工作。深入学习习近平总书记关于新时代社会主义协商民主思想、人民政协思想、统一战线思想，开展理论研究和阐释；</w:t>
      </w:r>
    </w:p>
    <w:p>
      <w:pPr>
        <w:ind w:firstLine="640" w:firstLineChars="200"/>
        <w:rPr>
          <w:rFonts w:ascii="Arial Narrow" w:hAnsi="Arial Narrow" w:eastAsia="仿宋_GB2312" w:cs="仿宋_GB2312"/>
          <w:color w:val="auto"/>
          <w:sz w:val="32"/>
          <w:szCs w:val="32"/>
          <w:highlight w:val="none"/>
          <w:shd w:val="clear" w:color="auto" w:fill="F8FAFD" w:themeFill="background1"/>
        </w:rPr>
      </w:pPr>
      <w:r>
        <w:rPr>
          <w:rFonts w:hint="eastAsia" w:ascii="Arial Narrow" w:hAnsi="Arial Narrow" w:eastAsia="仿宋_GB2312" w:cs="仿宋_GB2312"/>
          <w:color w:val="auto"/>
          <w:sz w:val="32"/>
          <w:szCs w:val="32"/>
          <w:highlight w:val="none"/>
          <w:shd w:val="clear" w:color="auto" w:fill="F8FAFD" w:themeFill="background1"/>
        </w:rPr>
        <w:t>8）加强系统联合联动工作。积极开展“协商在一线”试点工作，密切政协组织间的联系、交流与协作；做好全国政协领导及有关方面在鄂视察、考察、调研的组织、协调、接待工作；做好住鄂全国政协委员履职的服务保障工作；做好外省区市政协来鄂考察的接待工作；</w:t>
      </w:r>
    </w:p>
    <w:p>
      <w:pPr>
        <w:ind w:firstLine="640" w:firstLineChars="200"/>
        <w:rPr>
          <w:rFonts w:ascii="Arial Narrow" w:hAnsi="Arial Narrow" w:eastAsia="仿宋_GB2312" w:cs="仿宋_GB2312"/>
          <w:color w:val="auto"/>
          <w:sz w:val="32"/>
          <w:szCs w:val="32"/>
          <w:highlight w:val="none"/>
          <w:shd w:val="clear" w:color="auto" w:fill="F8FAFD" w:themeFill="background1"/>
        </w:rPr>
      </w:pPr>
      <w:r>
        <w:rPr>
          <w:rFonts w:hint="eastAsia" w:ascii="Arial Narrow" w:hAnsi="Arial Narrow" w:eastAsia="仿宋_GB2312" w:cs="仿宋_GB2312"/>
          <w:color w:val="auto"/>
          <w:sz w:val="32"/>
          <w:szCs w:val="32"/>
          <w:highlight w:val="none"/>
          <w:shd w:val="clear" w:color="auto" w:fill="F8FAFD" w:themeFill="background1"/>
        </w:rPr>
        <w:t>9）加强政协民主监督工作。围绕打好精准扶贫攻坚战，就深度贫困地区和特殊贫困人口脱贫开展重点专项民主监督；就湖北汉江流域水污染防治开展重点专项民主监督；根据省委部署，会同省委督查室等部门，对十八大以来有关人民政协工作的重要文件、重大部署落实情况开展监督检查；</w:t>
      </w:r>
    </w:p>
    <w:p>
      <w:pPr>
        <w:ind w:firstLine="640" w:firstLineChars="200"/>
        <w:rPr>
          <w:rFonts w:ascii="Arial Narrow" w:hAnsi="Arial Narrow" w:eastAsia="仿宋_GB2312" w:cs="仿宋_GB2312"/>
          <w:color w:val="auto"/>
          <w:sz w:val="32"/>
          <w:szCs w:val="32"/>
          <w:highlight w:val="none"/>
          <w:shd w:val="clear" w:color="auto" w:fill="F8FAFD" w:themeFill="background1"/>
        </w:rPr>
      </w:pPr>
      <w:r>
        <w:rPr>
          <w:rFonts w:hint="eastAsia" w:ascii="Arial Narrow" w:hAnsi="Arial Narrow" w:eastAsia="仿宋_GB2312" w:cs="仿宋_GB2312"/>
          <w:color w:val="auto"/>
          <w:sz w:val="32"/>
          <w:szCs w:val="32"/>
          <w:highlight w:val="none"/>
          <w:shd w:val="clear" w:color="auto" w:fill="F8FAFD" w:themeFill="background1"/>
        </w:rPr>
        <w:t>10）加强人民政协宣传工作。加强新闻宣传策划，提升省政协重大协商议政活动；整合政协新闻宣传资源，进一步密切与国家、省级主要新闻媒体的协作，协助有关媒体办好“议政建言”、“提案追踪”等专版专栏，办好《湖北政协》杂志、省政协网站、《湖北手机报·政协版》、“湖北政协”微信公众号和“智慧政协”APP的推广；</w:t>
      </w:r>
    </w:p>
    <w:p>
      <w:pPr>
        <w:ind w:firstLine="640" w:firstLineChars="200"/>
        <w:rPr>
          <w:rFonts w:ascii="Arial Narrow" w:hAnsi="Arial Narrow" w:eastAsia="仿宋_GB2312" w:cs="仿宋_GB2312"/>
          <w:color w:val="auto"/>
          <w:sz w:val="32"/>
          <w:szCs w:val="32"/>
          <w:highlight w:val="none"/>
          <w:shd w:val="clear" w:color="auto" w:fill="F8FAFD" w:themeFill="background1"/>
        </w:rPr>
      </w:pPr>
      <w:r>
        <w:rPr>
          <w:rFonts w:hint="eastAsia" w:ascii="Arial Narrow" w:hAnsi="Arial Narrow" w:eastAsia="仿宋_GB2312" w:cs="仿宋_GB2312"/>
          <w:color w:val="auto"/>
          <w:sz w:val="32"/>
          <w:szCs w:val="32"/>
          <w:highlight w:val="none"/>
          <w:shd w:val="clear" w:color="auto" w:fill="F8FAFD" w:themeFill="background1"/>
        </w:rPr>
        <w:t>11）积极完成全国政协和省委、省政府交办的其他工作任务</w:t>
      </w:r>
      <w:r>
        <w:rPr>
          <w:rFonts w:ascii="Arial Narrow" w:hAnsi="Arial Narrow" w:eastAsia="仿宋_GB2312" w:cs="仿宋_GB2312"/>
          <w:color w:val="auto"/>
          <w:sz w:val="32"/>
          <w:szCs w:val="32"/>
          <w:highlight w:val="none"/>
          <w:shd w:val="clear" w:color="auto" w:fill="F8FAFD" w:themeFill="background1"/>
        </w:rPr>
        <w:t>。</w:t>
      </w:r>
    </w:p>
    <w:p>
      <w:pPr>
        <w:ind w:firstLine="640" w:firstLineChars="200"/>
        <w:outlineLvl w:val="2"/>
        <w:rPr>
          <w:rFonts w:ascii="Arial Narrow" w:hAnsi="Arial Narrow" w:eastAsia="仿宋_GB2312"/>
          <w:color w:val="auto"/>
          <w:sz w:val="32"/>
          <w:szCs w:val="32"/>
          <w:highlight w:val="none"/>
        </w:rPr>
      </w:pPr>
      <w:r>
        <w:rPr>
          <w:rFonts w:ascii="Arial Narrow" w:hAnsi="Arial Narrow" w:eastAsia="仿宋_GB2312"/>
          <w:color w:val="auto"/>
          <w:sz w:val="32"/>
          <w:szCs w:val="32"/>
          <w:highlight w:val="none"/>
        </w:rPr>
        <w:t>2.年度部门整体绩效目标。</w:t>
      </w:r>
    </w:p>
    <w:p>
      <w:pPr>
        <w:ind w:firstLine="640" w:firstLineChars="200"/>
        <w:rPr>
          <w:rFonts w:ascii="Arial Narrow" w:hAnsi="Arial Narrow" w:eastAsia="仿宋_GB2312" w:cs="Times New Roman"/>
          <w:color w:val="auto"/>
          <w:sz w:val="32"/>
          <w:szCs w:val="32"/>
          <w:highlight w:val="none"/>
        </w:rPr>
      </w:pPr>
      <w:r>
        <w:rPr>
          <w:rFonts w:ascii="Arial Narrow" w:hAnsi="Arial Narrow" w:eastAsia="仿宋_GB2312" w:cs="Times New Roman"/>
          <w:color w:val="auto"/>
          <w:sz w:val="32"/>
          <w:szCs w:val="32"/>
          <w:highlight w:val="none"/>
        </w:rPr>
        <w:t>绩效目标一：</w:t>
      </w:r>
      <w:r>
        <w:rPr>
          <w:rFonts w:hint="eastAsia" w:ascii="Arial Narrow" w:hAnsi="Arial Narrow" w:eastAsia="仿宋_GB2312" w:cs="Times New Roman"/>
          <w:color w:val="auto"/>
          <w:sz w:val="32"/>
          <w:szCs w:val="32"/>
          <w:highlight w:val="none"/>
        </w:rPr>
        <w:t>召开省政协十二届三次会议，听取和审议常务委员会的工作报告；讨论并通过有关的决议；参与对国家和地方事务的重要问题的讨论，提出建议和批评。团结全省人民政协的各民主党派人士、各人民团体和各族各界人士，使之在政治上、思想上、行动上，与中共中央、湖北省委保持高度一致。在爱国主义和社会主义旗帜下，坚持和发展中国特色社会主义，为实现中华民族伟大复兴的中国梦的湖北篇而团结奋斗。充分发挥政协作为各党派团体和各族各界人士发扬民主、参与国是、团结合作的重要平台作用，努力形成社会共识、增进社会团结、维护社会稳定</w:t>
      </w:r>
      <w:r>
        <w:rPr>
          <w:rFonts w:ascii="Arial Narrow" w:hAnsi="Arial Narrow" w:eastAsia="仿宋_GB2312" w:cs="Times New Roman"/>
          <w:color w:val="auto"/>
          <w:sz w:val="32"/>
          <w:szCs w:val="32"/>
          <w:highlight w:val="none"/>
        </w:rPr>
        <w:t>。</w:t>
      </w:r>
    </w:p>
    <w:p>
      <w:pPr>
        <w:ind w:firstLine="640" w:firstLineChars="200"/>
        <w:rPr>
          <w:rFonts w:ascii="Arial Narrow" w:hAnsi="Arial Narrow" w:eastAsia="仿宋_GB2312" w:cs="仿宋_GB2312"/>
          <w:color w:val="auto"/>
          <w:sz w:val="32"/>
          <w:szCs w:val="32"/>
          <w:highlight w:val="none"/>
        </w:rPr>
      </w:pPr>
      <w:r>
        <w:rPr>
          <w:rFonts w:ascii="Arial Narrow" w:hAnsi="Arial Narrow" w:eastAsia="仿宋_GB2312" w:cs="Times New Roman"/>
          <w:color w:val="auto"/>
          <w:sz w:val="32"/>
          <w:szCs w:val="32"/>
          <w:highlight w:val="none"/>
        </w:rPr>
        <w:t>绩效目标二：</w:t>
      </w:r>
      <w:r>
        <w:rPr>
          <w:rFonts w:hint="eastAsia" w:ascii="Arial Narrow" w:hAnsi="Arial Narrow" w:eastAsia="仿宋_GB2312" w:cs="仿宋_GB2312"/>
          <w:color w:val="auto"/>
          <w:sz w:val="32"/>
          <w:szCs w:val="32"/>
          <w:highlight w:val="none"/>
        </w:rPr>
        <w:t>围绕党和国家及全省的中心工作，精心制订视察计划，组织委员深入实际、深入基层、深入现场，对中央和地方重大方针政策的贯彻落实，对全省经济社会发展中重大项目的规划建设，对人民群众普遍关注的重大问题的研究解决，进行巡视察看，资政建言，反映社情民意，开展民主监督，做好省政协委员视察工作，向省委、省政府提出专题建言，为全面建设社会主义现代化强省发挥履职建言作用</w:t>
      </w:r>
      <w:r>
        <w:rPr>
          <w:rFonts w:ascii="Arial Narrow" w:hAnsi="Arial Narrow" w:eastAsia="仿宋_GB2312" w:cs="仿宋_GB2312"/>
          <w:color w:val="auto"/>
          <w:sz w:val="32"/>
          <w:szCs w:val="32"/>
          <w:highlight w:val="none"/>
        </w:rPr>
        <w:t>。</w:t>
      </w:r>
    </w:p>
    <w:p>
      <w:pPr>
        <w:ind w:firstLine="640" w:firstLineChars="200"/>
        <w:rPr>
          <w:rFonts w:ascii="Arial Narrow" w:hAnsi="Arial Narrow" w:eastAsia="仿宋_GB2312" w:cs="Times New Roman"/>
          <w:color w:val="auto"/>
          <w:sz w:val="32"/>
          <w:szCs w:val="32"/>
          <w:highlight w:val="none"/>
        </w:rPr>
      </w:pPr>
      <w:r>
        <w:rPr>
          <w:rFonts w:ascii="Arial Narrow" w:hAnsi="Arial Narrow" w:eastAsia="仿宋_GB2312" w:cs="Times New Roman"/>
          <w:color w:val="auto"/>
          <w:sz w:val="32"/>
          <w:szCs w:val="32"/>
          <w:highlight w:val="none"/>
        </w:rPr>
        <w:t>绩效目标三：</w:t>
      </w:r>
      <w:r>
        <w:rPr>
          <w:rFonts w:hint="eastAsia" w:ascii="Arial Narrow" w:hAnsi="Arial Narrow" w:eastAsia="仿宋_GB2312" w:cs="Times New Roman"/>
          <w:color w:val="auto"/>
          <w:sz w:val="32"/>
          <w:szCs w:val="32"/>
          <w:highlight w:val="none"/>
        </w:rPr>
        <w:t>充分发挥政协委员主体作用，利用政协委员包容各界、联系广泛、人才聚集的优势和特点，对政治、经济、文化和社会生活中的重要问题以及人民群众普遍关心的问题，开展调查研究，发挥好社情民意“零距离”、“直通车”作用，坚持协商于民、协商为民，充分协商讨论，并通过调研报告、提案、建议案或其他形式，向党政机关提出意见和建议，促进党委政府科学民主决策。</w:t>
      </w:r>
    </w:p>
    <w:p>
      <w:pPr>
        <w:ind w:firstLine="640" w:firstLineChars="200"/>
        <w:rPr>
          <w:rFonts w:ascii="Arial Narrow" w:hAnsi="Arial Narrow" w:eastAsia="仿宋_GB2312" w:cs="Times New Roman"/>
          <w:color w:val="auto"/>
          <w:sz w:val="32"/>
          <w:szCs w:val="32"/>
          <w:highlight w:val="none"/>
        </w:rPr>
      </w:pPr>
      <w:r>
        <w:rPr>
          <w:rFonts w:ascii="Arial Narrow" w:hAnsi="Arial Narrow" w:eastAsia="仿宋_GB2312" w:cs="Times New Roman"/>
          <w:color w:val="auto"/>
          <w:sz w:val="32"/>
          <w:szCs w:val="32"/>
          <w:highlight w:val="none"/>
        </w:rPr>
        <w:t>绩效目标四：</w:t>
      </w:r>
      <w:r>
        <w:rPr>
          <w:rFonts w:hint="eastAsia" w:ascii="Arial Narrow" w:hAnsi="Arial Narrow" w:eastAsia="仿宋_GB2312" w:cs="Times New Roman"/>
          <w:color w:val="auto"/>
          <w:sz w:val="32"/>
          <w:szCs w:val="32"/>
          <w:highlight w:val="none"/>
        </w:rPr>
        <w:t>通过机关日常保障，提供良好的办公条件。按省委省政府有关文件精神，机关党委、创建及保密工作等各项活动应列专项活动经费，编入各单位部门预算。省政协接待工作是一项接触面广、政治性强的工作，是机关联系各方面的纽带和反映机关“两个文明”建设的窗口，是宣传湖北的有效方式，省政协按照党政机关有关国内接待方面的文件规定，做好全国政协和兄弟省市政协赴鄂视察、调研、考察的接待工作</w:t>
      </w:r>
      <w:r>
        <w:rPr>
          <w:rFonts w:ascii="Arial Narrow" w:hAnsi="Arial Narrow" w:eastAsia="仿宋_GB2312" w:cs="Times New Roman"/>
          <w:color w:val="auto"/>
          <w:sz w:val="32"/>
          <w:szCs w:val="32"/>
          <w:highlight w:val="none"/>
        </w:rPr>
        <w:t>。</w:t>
      </w:r>
    </w:p>
    <w:p>
      <w:pPr>
        <w:ind w:firstLine="640" w:firstLineChars="200"/>
        <w:outlineLvl w:val="1"/>
        <w:rPr>
          <w:rFonts w:ascii="Arial Narrow" w:hAnsi="Arial Narrow" w:eastAsia="楷体_GB2312" w:cs="Times New Roman"/>
          <w:color w:val="auto"/>
          <w:sz w:val="32"/>
          <w:szCs w:val="32"/>
          <w:highlight w:val="none"/>
        </w:rPr>
      </w:pPr>
      <w:r>
        <w:rPr>
          <w:rFonts w:ascii="Arial Narrow" w:hAnsi="Arial Narrow" w:eastAsia="楷体_GB2312" w:cs="楷体_GB2312"/>
          <w:color w:val="auto"/>
          <w:sz w:val="32"/>
          <w:szCs w:val="32"/>
          <w:highlight w:val="none"/>
        </w:rPr>
        <w:t>（二）部门自评工作开展情况</w:t>
      </w:r>
    </w:p>
    <w:p>
      <w:pPr>
        <w:ind w:firstLine="640" w:firstLineChars="200"/>
        <w:rPr>
          <w:rFonts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rPr>
        <w:t>根据《省财政厅关于编制2020年度省直部门决算的通知》（鄂财库发〔2020〕22号）文件要求，省政协办公厅组织开展“部门整体支出项目”绩效自评工作。</w:t>
      </w:r>
    </w:p>
    <w:p>
      <w:pPr>
        <w:ind w:firstLine="640" w:firstLineChars="200"/>
        <w:outlineLvl w:val="2"/>
        <w:rPr>
          <w:rFonts w:ascii="Arial Narrow" w:hAnsi="Arial Narrow" w:eastAsia="仿宋_GB2312"/>
          <w:color w:val="auto"/>
          <w:sz w:val="32"/>
          <w:szCs w:val="32"/>
          <w:highlight w:val="none"/>
        </w:rPr>
      </w:pPr>
      <w:r>
        <w:rPr>
          <w:rFonts w:hint="eastAsia" w:ascii="Arial Narrow" w:hAnsi="Arial Narrow" w:eastAsia="仿宋_GB2312"/>
          <w:color w:val="auto"/>
          <w:sz w:val="32"/>
          <w:szCs w:val="32"/>
          <w:highlight w:val="none"/>
        </w:rPr>
        <w:t>1.前期准备情况</w:t>
      </w:r>
    </w:p>
    <w:p>
      <w:pPr>
        <w:ind w:firstLine="640" w:firstLineChars="200"/>
        <w:rPr>
          <w:rFonts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rPr>
        <w:t>根据《湖北省政协机关预算绩效管理办法》，由省政协办公厅行政处牵头组成自评工作组，制定绩效评价工作方案，按照年初省财政厅批复的</w:t>
      </w:r>
      <w:r>
        <w:rPr>
          <w:rFonts w:hint="eastAsia" w:ascii="Arial Narrow" w:hAnsi="Arial Narrow" w:eastAsia="仿宋_GB2312" w:cs="仿宋_GB2312"/>
          <w:color w:val="auto"/>
          <w:sz w:val="32"/>
          <w:szCs w:val="32"/>
          <w:highlight w:val="none"/>
          <w:lang w:val="en-US" w:eastAsia="zh-CN"/>
        </w:rPr>
        <w:t>部门整体支出</w:t>
      </w:r>
      <w:r>
        <w:rPr>
          <w:rFonts w:hint="eastAsia" w:ascii="Arial Narrow" w:hAnsi="Arial Narrow" w:eastAsia="仿宋_GB2312" w:cs="仿宋_GB2312"/>
          <w:color w:val="auto"/>
          <w:sz w:val="32"/>
          <w:szCs w:val="32"/>
          <w:highlight w:val="none"/>
        </w:rPr>
        <w:t>绩效目标</w:t>
      </w:r>
      <w:r>
        <w:rPr>
          <w:rFonts w:hint="eastAsia" w:ascii="Arial Narrow" w:hAnsi="Arial Narrow" w:eastAsia="仿宋_GB2312" w:cs="仿宋_GB2312"/>
          <w:color w:val="auto"/>
          <w:sz w:val="32"/>
          <w:szCs w:val="32"/>
          <w:highlight w:val="none"/>
          <w:lang w:val="en-US" w:eastAsia="zh-CN"/>
        </w:rPr>
        <w:t>申报表，</w:t>
      </w:r>
      <w:r>
        <w:rPr>
          <w:rFonts w:hint="eastAsia" w:ascii="Arial Narrow" w:hAnsi="Arial Narrow" w:eastAsia="仿宋_GB2312" w:cs="仿宋_GB2312"/>
          <w:color w:val="auto"/>
          <w:sz w:val="32"/>
          <w:szCs w:val="32"/>
          <w:highlight w:val="none"/>
        </w:rPr>
        <w:t>整理目标完成情况统计表及佐证材料清单，将绩效目标完成情况填报任务分解至机关各资金使用处室及</w:t>
      </w:r>
      <w:r>
        <w:rPr>
          <w:rFonts w:hint="eastAsia" w:ascii="Arial Narrow" w:hAnsi="Arial Narrow" w:eastAsia="仿宋_GB2312" w:cs="仿宋_GB2312"/>
          <w:color w:val="auto"/>
          <w:sz w:val="32"/>
          <w:szCs w:val="32"/>
          <w:highlight w:val="none"/>
          <w:lang w:val="en-US" w:eastAsia="zh-CN"/>
        </w:rPr>
        <w:t>各</w:t>
      </w:r>
      <w:r>
        <w:rPr>
          <w:rFonts w:hint="eastAsia" w:ascii="Arial Narrow" w:hAnsi="Arial Narrow" w:eastAsia="仿宋_GB2312" w:cs="仿宋_GB2312"/>
          <w:color w:val="auto"/>
          <w:sz w:val="32"/>
          <w:szCs w:val="32"/>
          <w:highlight w:val="none"/>
        </w:rPr>
        <w:t>直属单位，确定绩效评价方向，指导绩效自评工作。</w:t>
      </w:r>
    </w:p>
    <w:p>
      <w:pPr>
        <w:ind w:firstLine="640" w:firstLineChars="200"/>
        <w:outlineLvl w:val="2"/>
        <w:rPr>
          <w:rFonts w:ascii="Arial Narrow" w:hAnsi="Arial Narrow" w:eastAsia="仿宋_GB2312"/>
          <w:color w:val="auto"/>
          <w:sz w:val="32"/>
          <w:szCs w:val="32"/>
          <w:highlight w:val="none"/>
        </w:rPr>
      </w:pPr>
      <w:r>
        <w:rPr>
          <w:rFonts w:hint="eastAsia" w:ascii="Arial Narrow" w:hAnsi="Arial Narrow" w:eastAsia="仿宋_GB2312"/>
          <w:color w:val="auto"/>
          <w:sz w:val="32"/>
          <w:szCs w:val="32"/>
          <w:highlight w:val="none"/>
        </w:rPr>
        <w:t>2.评价过程情况</w:t>
      </w:r>
    </w:p>
    <w:p>
      <w:pPr>
        <w:ind w:firstLine="640" w:firstLineChars="200"/>
        <w:rPr>
          <w:rFonts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rPr>
        <w:t>机关各处室、</w:t>
      </w:r>
      <w:r>
        <w:rPr>
          <w:rFonts w:hint="eastAsia" w:ascii="Arial Narrow" w:hAnsi="Arial Narrow" w:eastAsia="仿宋_GB2312" w:cs="仿宋_GB2312"/>
          <w:color w:val="auto"/>
          <w:sz w:val="32"/>
          <w:szCs w:val="32"/>
          <w:highlight w:val="none"/>
          <w:lang w:val="en-US" w:eastAsia="zh-CN"/>
        </w:rPr>
        <w:t>各</w:t>
      </w:r>
      <w:r>
        <w:rPr>
          <w:rFonts w:hint="eastAsia" w:ascii="Arial Narrow" w:hAnsi="Arial Narrow" w:eastAsia="仿宋_GB2312" w:cs="仿宋_GB2312"/>
          <w:color w:val="auto"/>
          <w:sz w:val="32"/>
          <w:szCs w:val="32"/>
          <w:highlight w:val="none"/>
        </w:rPr>
        <w:t>直属单位按照通知要求及《湖北省政协机关预算绩效管理办法》，对绩效指标完成情况逐项梳理，填报绩效目标完成情况统计表，通过绩效指标完成值与预期目标值的比较，综合分析绩效目标的实现程度，对未完成的绩效目标深入分析原因，提出下一步改进措施，同时整理工作实施方案、会议材料、工作总结等相关资料作为佐证材料。</w:t>
      </w:r>
    </w:p>
    <w:p>
      <w:pPr>
        <w:ind w:firstLine="640" w:firstLineChars="200"/>
        <w:outlineLvl w:val="2"/>
        <w:rPr>
          <w:rFonts w:ascii="Arial Narrow" w:hAnsi="Arial Narrow" w:eastAsia="仿宋_GB2312"/>
          <w:color w:val="auto"/>
          <w:sz w:val="32"/>
          <w:szCs w:val="32"/>
          <w:highlight w:val="none"/>
        </w:rPr>
      </w:pPr>
      <w:r>
        <w:rPr>
          <w:rFonts w:hint="eastAsia" w:ascii="Arial Narrow" w:hAnsi="Arial Narrow" w:eastAsia="仿宋_GB2312"/>
          <w:color w:val="auto"/>
          <w:sz w:val="32"/>
          <w:szCs w:val="32"/>
          <w:highlight w:val="none"/>
        </w:rPr>
        <w:t>3.汇总分析阶段</w:t>
      </w:r>
    </w:p>
    <w:p>
      <w:pPr>
        <w:ind w:firstLine="640" w:firstLineChars="200"/>
        <w:rPr>
          <w:rFonts w:ascii="Arial Narrow" w:hAnsi="Arial Narrow" w:eastAsia="仿宋_GB2312" w:cs="仿宋_GB2312"/>
          <w:color w:val="auto"/>
          <w:sz w:val="32"/>
          <w:szCs w:val="32"/>
          <w:highlight w:val="none"/>
        </w:rPr>
      </w:pPr>
      <w:r>
        <w:rPr>
          <w:rFonts w:hint="eastAsia" w:ascii="Arial Narrow" w:hAnsi="Arial Narrow" w:eastAsia="仿宋_GB2312" w:cs="仿宋_GB2312"/>
          <w:color w:val="auto"/>
          <w:sz w:val="32"/>
          <w:szCs w:val="32"/>
          <w:highlight w:val="none"/>
        </w:rPr>
        <w:t>省政协办公厅行政处审核汇总各处室、</w:t>
      </w:r>
      <w:r>
        <w:rPr>
          <w:rFonts w:hint="eastAsia" w:ascii="Arial Narrow" w:hAnsi="Arial Narrow" w:eastAsia="仿宋_GB2312" w:cs="仿宋_GB2312"/>
          <w:color w:val="auto"/>
          <w:sz w:val="32"/>
          <w:szCs w:val="32"/>
          <w:highlight w:val="none"/>
          <w:lang w:val="en-US" w:eastAsia="zh-CN"/>
        </w:rPr>
        <w:t>各</w:t>
      </w:r>
      <w:r>
        <w:rPr>
          <w:rFonts w:hint="eastAsia" w:ascii="Arial Narrow" w:hAnsi="Arial Narrow" w:eastAsia="仿宋_GB2312" w:cs="仿宋_GB2312"/>
          <w:color w:val="auto"/>
          <w:sz w:val="32"/>
          <w:szCs w:val="32"/>
          <w:highlight w:val="none"/>
        </w:rPr>
        <w:t>直属单位填报的绩效目标完成情况统计表，并与佐证材料进行比对，核实“部门整体支出项目”完成情况及产出、效果，与机关各处室、</w:t>
      </w:r>
      <w:r>
        <w:rPr>
          <w:rFonts w:hint="eastAsia" w:ascii="Arial Narrow" w:hAnsi="Arial Narrow" w:eastAsia="仿宋_GB2312" w:cs="仿宋_GB2312"/>
          <w:color w:val="auto"/>
          <w:sz w:val="32"/>
          <w:szCs w:val="32"/>
          <w:highlight w:val="none"/>
          <w:lang w:val="en-US" w:eastAsia="zh-CN"/>
        </w:rPr>
        <w:t>各</w:t>
      </w:r>
      <w:r>
        <w:rPr>
          <w:rFonts w:hint="eastAsia" w:ascii="Arial Narrow" w:hAnsi="Arial Narrow" w:eastAsia="仿宋_GB2312" w:cs="仿宋_GB2312"/>
          <w:color w:val="auto"/>
          <w:sz w:val="32"/>
          <w:szCs w:val="32"/>
          <w:highlight w:val="none"/>
        </w:rPr>
        <w:t>直属单位反馈确认后，形成自评结果。</w:t>
      </w:r>
    </w:p>
    <w:p>
      <w:pPr>
        <w:ind w:firstLine="640" w:firstLineChars="200"/>
        <w:outlineLvl w:val="1"/>
        <w:rPr>
          <w:rFonts w:ascii="Arial Narrow" w:hAnsi="Arial Narrow" w:eastAsia="楷体_GB2312" w:cs="Times New Roman"/>
          <w:color w:val="auto"/>
          <w:sz w:val="32"/>
          <w:szCs w:val="32"/>
          <w:highlight w:val="none"/>
        </w:rPr>
      </w:pPr>
      <w:r>
        <w:rPr>
          <w:rFonts w:ascii="Arial Narrow" w:hAnsi="Arial Narrow" w:eastAsia="楷体_GB2312" w:cs="楷体_GB2312"/>
          <w:color w:val="auto"/>
          <w:sz w:val="32"/>
          <w:szCs w:val="32"/>
          <w:highlight w:val="none"/>
        </w:rPr>
        <w:t>（三）绩效目标完成情况分析</w:t>
      </w:r>
    </w:p>
    <w:p>
      <w:pPr>
        <w:ind w:firstLine="640" w:firstLineChars="200"/>
        <w:outlineLvl w:val="2"/>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1.预算执行情况分析。</w:t>
      </w:r>
    </w:p>
    <w:p>
      <w:pPr>
        <w:ind w:firstLine="640" w:firstLineChars="200"/>
        <w:outlineLvl w:val="3"/>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（1）资金到位情况分析</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年初部门整体预算数12,451.37万元（含上年结转</w:t>
      </w:r>
      <w:r>
        <w:rPr>
          <w:rFonts w:hint="eastAsia" w:ascii="Arial Narrow" w:hAnsi="Arial Narrow" w:eastAsia="仿宋_GB2312" w:cs="Arial Narrow"/>
          <w:color w:val="auto"/>
          <w:sz w:val="32"/>
          <w:szCs w:val="32"/>
          <w:highlight w:val="none"/>
        </w:rPr>
        <w:t>400.00万元</w:t>
      </w:r>
      <w:r>
        <w:rPr>
          <w:rFonts w:ascii="Arial Narrow" w:hAnsi="Arial Narrow" w:eastAsia="仿宋_GB2312" w:cs="Arial Narrow"/>
          <w:color w:val="auto"/>
          <w:sz w:val="32"/>
          <w:szCs w:val="32"/>
          <w:highlight w:val="none"/>
        </w:rPr>
        <w:t>），</w:t>
      </w:r>
      <w:r>
        <w:rPr>
          <w:rFonts w:hint="eastAsia" w:ascii="Arial Narrow" w:hAnsi="Arial Narrow" w:eastAsia="仿宋_GB2312" w:cs="Arial Narrow"/>
          <w:color w:val="auto"/>
          <w:sz w:val="32"/>
          <w:szCs w:val="32"/>
          <w:highlight w:val="none"/>
          <w:lang w:val="en-US" w:eastAsia="zh-CN"/>
        </w:rPr>
        <w:t>调整后预算数</w:t>
      </w:r>
      <w:r>
        <w:rPr>
          <w:rFonts w:ascii="Arial Narrow" w:hAnsi="Arial Narrow" w:eastAsia="仿宋_GB2312" w:cs="Arial Narrow"/>
          <w:color w:val="auto"/>
          <w:sz w:val="32"/>
          <w:szCs w:val="32"/>
          <w:highlight w:val="none"/>
        </w:rPr>
        <w:t>12,463.97万元</w:t>
      </w:r>
      <w:r>
        <w:rPr>
          <w:rFonts w:hint="eastAsia" w:ascii="Arial Narrow" w:hAnsi="Arial Narrow" w:eastAsia="仿宋_GB2312" w:cs="Arial Narrow"/>
          <w:color w:val="auto"/>
          <w:sz w:val="32"/>
          <w:szCs w:val="32"/>
          <w:highlight w:val="none"/>
          <w:lang w:eastAsia="zh-CN"/>
        </w:rPr>
        <w:t>，</w:t>
      </w:r>
      <w:r>
        <w:rPr>
          <w:rFonts w:ascii="Arial Narrow" w:hAnsi="Arial Narrow" w:eastAsia="仿宋_GB2312" w:cs="Arial Narrow"/>
          <w:color w:val="auto"/>
          <w:sz w:val="32"/>
          <w:szCs w:val="32"/>
          <w:highlight w:val="none"/>
        </w:rPr>
        <w:t>实际到位预算指标12,463.97万元，</w:t>
      </w:r>
      <w:r>
        <w:rPr>
          <w:rFonts w:hint="eastAsia" w:ascii="Arial Narrow" w:hAnsi="Arial Narrow" w:eastAsia="仿宋_GB2312" w:cs="Arial Narrow"/>
          <w:color w:val="auto"/>
          <w:sz w:val="32"/>
          <w:szCs w:val="32"/>
          <w:highlight w:val="none"/>
          <w:lang w:val="en-US" w:eastAsia="zh-CN"/>
        </w:rPr>
        <w:t>资金</w:t>
      </w:r>
      <w:r>
        <w:rPr>
          <w:rFonts w:ascii="Arial Narrow" w:hAnsi="Arial Narrow" w:eastAsia="仿宋_GB2312" w:cs="Arial Narrow"/>
          <w:color w:val="auto"/>
          <w:sz w:val="32"/>
          <w:szCs w:val="32"/>
          <w:highlight w:val="none"/>
        </w:rPr>
        <w:t>到位率100%。</w:t>
      </w:r>
    </w:p>
    <w:p>
      <w:pPr>
        <w:ind w:firstLine="640" w:firstLineChars="200"/>
        <w:outlineLvl w:val="3"/>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（2）资金执行情况分析</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湖北省政协办公厅部门整体调整后预算数12,463.97万元，预算执行数11,168.88万元，执行率89.61%，</w:t>
      </w:r>
      <w:r>
        <w:rPr>
          <w:rFonts w:ascii="Arial Narrow" w:hAnsi="Arial Narrow" w:eastAsia="仿宋_GB2312" w:cs="Arial Narrow"/>
          <w:color w:val="auto"/>
          <w:kern w:val="0"/>
          <w:sz w:val="32"/>
          <w:szCs w:val="32"/>
          <w:highlight w:val="none"/>
        </w:rPr>
        <w:t>该项评价得17.92分，扣2.08分。</w:t>
      </w:r>
    </w:p>
    <w:p>
      <w:pPr>
        <w:ind w:firstLine="640" w:firstLineChars="200"/>
        <w:outlineLvl w:val="5"/>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1）基本支出情况</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基本支出年初预算数7,886.37万元，调整后预算数7,486.37万元，预算执行数7,329.41万元，执行率97.90%。其中：人员经费4,400.00万元，执行率100.00%</w:t>
      </w:r>
      <w:r>
        <w:rPr>
          <w:rFonts w:hint="eastAsia" w:ascii="Arial Narrow" w:hAnsi="Arial Narrow" w:eastAsia="仿宋_GB2312" w:cs="Arial Narrow"/>
          <w:color w:val="auto"/>
          <w:sz w:val="32"/>
          <w:szCs w:val="32"/>
          <w:highlight w:val="none"/>
          <w:lang w:eastAsia="zh-CN"/>
        </w:rPr>
        <w:t>；</w:t>
      </w:r>
      <w:r>
        <w:rPr>
          <w:rFonts w:ascii="Arial Narrow" w:hAnsi="Arial Narrow" w:eastAsia="仿宋_GB2312" w:cs="Arial Narrow"/>
          <w:color w:val="auto"/>
          <w:sz w:val="32"/>
          <w:szCs w:val="32"/>
          <w:highlight w:val="none"/>
        </w:rPr>
        <w:t>工资福利支出1,323.72万元，执行率100.00%；对个人和家庭的补助1,000.00万元，执行率为100.00%；商品和服务支出592.54万元，执行率79.47%；资本性支出13.15万元，执行率77.37%。</w:t>
      </w:r>
    </w:p>
    <w:p>
      <w:pPr>
        <w:ind w:firstLine="640" w:firstLineChars="200"/>
        <w:outlineLvl w:val="5"/>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2）项目支出情况</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项目支出年初预算数4,</w:t>
      </w:r>
      <w:r>
        <w:rPr>
          <w:rFonts w:hint="eastAsia" w:ascii="Arial Narrow" w:hAnsi="Arial Narrow" w:eastAsia="仿宋_GB2312" w:cs="Arial Narrow"/>
          <w:color w:val="auto"/>
          <w:sz w:val="32"/>
          <w:szCs w:val="32"/>
          <w:highlight w:val="none"/>
          <w:lang w:val="en-US" w:eastAsia="zh-CN"/>
        </w:rPr>
        <w:t>56</w:t>
      </w:r>
      <w:r>
        <w:rPr>
          <w:rFonts w:ascii="Arial Narrow" w:hAnsi="Arial Narrow" w:eastAsia="仿宋_GB2312" w:cs="Arial Narrow"/>
          <w:color w:val="auto"/>
          <w:sz w:val="32"/>
          <w:szCs w:val="32"/>
          <w:highlight w:val="none"/>
        </w:rPr>
        <w:t>5.00万元（不含专项转移支付支出900.00万元），调整后预算数4,977.60万元，预算执行数3,839.47万元，执行率为77.13%。</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一是湖北省政协会议类项目。年初预算1,145.00万元，预算调整-295.00万元，实际到位850.00万元，全年预算执行795.73万元，预算执行率93.62%。</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二是湖北省政协参政议政类项目。年初预算1,215.00万元，预算调整-340.00万元，实际到位875.00万元，全年预算执行597.41万元，预算执行率68.28%。</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三是湖北省政协委员视察调研。年初预算205.00万元，预算调整-128.80万元，实际到位76.20万元，全年预算执行59.43万元，预算执行率78.00%。</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四是湖北省政协综合事务工作类项目。年初预算1,8</w:t>
      </w:r>
      <w:r>
        <w:rPr>
          <w:rFonts w:hint="eastAsia" w:ascii="Arial Narrow" w:hAnsi="Arial Narrow" w:eastAsia="仿宋_GB2312" w:cs="Arial Narrow"/>
          <w:color w:val="auto"/>
          <w:sz w:val="32"/>
          <w:szCs w:val="32"/>
          <w:highlight w:val="none"/>
          <w:lang w:val="en-US" w:eastAsia="zh-CN"/>
        </w:rPr>
        <w:t>0</w:t>
      </w:r>
      <w:r>
        <w:rPr>
          <w:rFonts w:ascii="Arial Narrow" w:hAnsi="Arial Narrow" w:eastAsia="仿宋_GB2312" w:cs="Arial Narrow"/>
          <w:color w:val="auto"/>
          <w:sz w:val="32"/>
          <w:szCs w:val="32"/>
          <w:highlight w:val="none"/>
        </w:rPr>
        <w:t>0.00万元，预算调整-</w:t>
      </w:r>
      <w:r>
        <w:rPr>
          <w:rFonts w:hint="eastAsia" w:ascii="Arial Narrow" w:hAnsi="Arial Narrow" w:eastAsia="仿宋_GB2312" w:cs="Arial Narrow"/>
          <w:color w:val="auto"/>
          <w:sz w:val="32"/>
          <w:szCs w:val="32"/>
          <w:highlight w:val="none"/>
          <w:lang w:val="en-US" w:eastAsia="zh-CN"/>
        </w:rPr>
        <w:t>9</w:t>
      </w:r>
      <w:r>
        <w:rPr>
          <w:rFonts w:ascii="Arial Narrow" w:hAnsi="Arial Narrow" w:eastAsia="仿宋_GB2312" w:cs="Arial Narrow"/>
          <w:color w:val="auto"/>
          <w:sz w:val="32"/>
          <w:szCs w:val="32"/>
          <w:highlight w:val="none"/>
        </w:rPr>
        <w:t>0.00万元，实际到位1,710.00万元，全年预算执行1,462.78万元，预算执行率85.54%。</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五是不可预见费。年初预算200.00万元，实际到位200.00万元，全年预算执行200.00万元，预算执行率100</w:t>
      </w:r>
      <w:r>
        <w:rPr>
          <w:rFonts w:hint="eastAsia" w:ascii="Arial Narrow" w:hAnsi="Arial Narrow" w:eastAsia="仿宋_GB2312" w:cs="Arial Narrow"/>
          <w:color w:val="auto"/>
          <w:sz w:val="32"/>
          <w:szCs w:val="32"/>
          <w:highlight w:val="none"/>
        </w:rPr>
        <w:t>.00</w:t>
      </w:r>
      <w:r>
        <w:rPr>
          <w:rFonts w:ascii="Arial Narrow" w:hAnsi="Arial Narrow" w:eastAsia="仿宋_GB2312" w:cs="Arial Narrow"/>
          <w:color w:val="auto"/>
          <w:sz w:val="32"/>
          <w:szCs w:val="32"/>
          <w:highlight w:val="none"/>
        </w:rPr>
        <w:t>%。</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六是上年结转省直单位公费医疗预算851.00万元，实际到位851.00万元，全年预算执行494.86万元，预算执行率58.15%。</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七是上年结转省政协办公厅党政机关电子公文系统安全可靠应用第二批试点项目预算15.05万元，预算未执行。</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八是追加省直离休人员春节补助预算1.30万元，全年预算执行1.30万元，预算执行率100.00%。</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九是追加省纪委监委等84个单位2018-2019年度住房分配货币化补贴资金预算72.88万元，实际到位72.88万元，全年预算执行72.88万元，预算执行率100.00%。</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十是2020年安可替代工程财政补助经费预算122.00万元，实际到位122.00万元，全年预算执行122.00万元，预算执行率100.00%。</w:t>
      </w:r>
    </w:p>
    <w:p>
      <w:pPr>
        <w:ind w:firstLine="640" w:firstLineChars="200"/>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十一是2020年安可替代工程省级财政补助经费预算111.00万元，实际到位111.00万元，全年预算执行33.07万元，预算执行率29.79%。</w:t>
      </w:r>
    </w:p>
    <w:p>
      <w:pPr>
        <w:ind w:firstLine="640" w:firstLineChars="200"/>
        <w:rPr>
          <w:rFonts w:ascii="Arial Narrow" w:hAnsi="Arial Narrow" w:eastAsia="仿宋_GB2312" w:cs="Arial Narrow"/>
          <w:color w:val="auto"/>
          <w:sz w:val="32"/>
          <w:szCs w:val="32"/>
          <w:highlight w:val="none"/>
        </w:rPr>
      </w:pPr>
      <w:r>
        <w:rPr>
          <w:rFonts w:hint="eastAsia" w:ascii="Arial Narrow" w:hAnsi="Arial Narrow" w:eastAsia="仿宋_GB2312" w:cs="Arial Narrow"/>
          <w:color w:val="auto"/>
          <w:sz w:val="32"/>
          <w:szCs w:val="32"/>
          <w:highlight w:val="none"/>
        </w:rPr>
        <w:t>十二是预拨安可替代工程建设资金预算93.17万元，实际到位93.17万元，预算未执行。</w:t>
      </w:r>
    </w:p>
    <w:p>
      <w:pPr>
        <w:ind w:firstLine="640" w:firstLineChars="200"/>
        <w:outlineLvl w:val="2"/>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2.绩效目标完成情况分析。</w:t>
      </w:r>
    </w:p>
    <w:p>
      <w:pPr>
        <w:ind w:firstLine="640" w:firstLineChars="200"/>
        <w:outlineLvl w:val="3"/>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（1）年度绩效目标一</w:t>
      </w:r>
    </w:p>
    <w:p>
      <w:pPr>
        <w:ind w:firstLine="640" w:firstLineChars="200"/>
        <w:outlineLvl w:val="5"/>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1）产出指标完成情况分析</w:t>
      </w:r>
    </w:p>
    <w:p>
      <w:pPr>
        <w:pStyle w:val="13"/>
        <w:ind w:firstLine="640"/>
        <w:rPr>
          <w:rFonts w:hint="eastAsia"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①</w:t>
      </w:r>
      <w:r>
        <w:rPr>
          <w:rFonts w:ascii="Arial Narrow" w:hAnsi="Arial Narrow" w:eastAsia="仿宋_GB2312" w:cs="Arial Narrow"/>
          <w:color w:val="auto"/>
          <w:kern w:val="0"/>
          <w:sz w:val="32"/>
          <w:szCs w:val="32"/>
          <w:highlight w:val="none"/>
        </w:rPr>
        <w:t>十二届三次会议大会到会率（</w:t>
      </w:r>
      <w:r>
        <w:rPr>
          <w:rFonts w:hint="eastAsia" w:ascii="Arial Narrow" w:hAnsi="Arial Narrow" w:eastAsia="仿宋_GB2312" w:cs="Arial Narrow"/>
          <w:color w:val="auto"/>
          <w:kern w:val="0"/>
          <w:sz w:val="32"/>
          <w:szCs w:val="32"/>
          <w:highlight w:val="none"/>
          <w:lang w:val="en-US" w:eastAsia="zh-CN"/>
        </w:rPr>
        <w:t>2.00</w:t>
      </w:r>
      <w:r>
        <w:rPr>
          <w:rFonts w:ascii="Arial Narrow" w:hAnsi="Arial Narrow" w:eastAsia="仿宋_GB2312" w:cs="Arial Narrow"/>
          <w:color w:val="auto"/>
          <w:kern w:val="0"/>
          <w:sz w:val="32"/>
          <w:szCs w:val="32"/>
          <w:highlight w:val="none"/>
        </w:rPr>
        <w:t>分）：年初目标值90%，实际完成值</w:t>
      </w:r>
      <w:r>
        <w:rPr>
          <w:rFonts w:hint="eastAsia" w:ascii="Arial Narrow" w:hAnsi="Arial Narrow" w:eastAsia="仿宋_GB2312" w:cs="Arial Narrow"/>
          <w:color w:val="auto"/>
          <w:kern w:val="0"/>
          <w:sz w:val="32"/>
          <w:szCs w:val="32"/>
          <w:highlight w:val="none"/>
        </w:rPr>
        <w:t>93.86%</w:t>
      </w:r>
      <w:r>
        <w:rPr>
          <w:rFonts w:ascii="Arial Narrow" w:hAnsi="Arial Narrow" w:eastAsia="仿宋_GB2312" w:cs="Arial Narrow"/>
          <w:color w:val="auto"/>
          <w:kern w:val="0"/>
          <w:sz w:val="32"/>
          <w:szCs w:val="32"/>
          <w:highlight w:val="none"/>
        </w:rPr>
        <w:t>，该指标得</w:t>
      </w:r>
      <w:r>
        <w:rPr>
          <w:rFonts w:hint="eastAsia" w:ascii="Arial Narrow" w:hAnsi="Arial Narrow" w:eastAsia="仿宋_GB2312" w:cs="Arial Narrow"/>
          <w:color w:val="auto"/>
          <w:kern w:val="0"/>
          <w:sz w:val="32"/>
          <w:szCs w:val="32"/>
          <w:highlight w:val="none"/>
          <w:lang w:val="en-US" w:eastAsia="zh-CN"/>
        </w:rPr>
        <w:t>2.00</w:t>
      </w:r>
      <w:r>
        <w:rPr>
          <w:rFonts w:ascii="Arial Narrow" w:hAnsi="Arial Narrow" w:eastAsia="仿宋_GB2312" w:cs="Arial Narrow"/>
          <w:color w:val="auto"/>
          <w:kern w:val="0"/>
          <w:sz w:val="32"/>
          <w:szCs w:val="32"/>
          <w:highlight w:val="none"/>
        </w:rPr>
        <w:t>分。</w:t>
      </w:r>
      <w:r>
        <w:rPr>
          <w:rFonts w:hint="eastAsia" w:ascii="Arial Narrow" w:hAnsi="Arial Narrow" w:eastAsia="仿宋_GB2312" w:cs="Arial Narrow"/>
          <w:color w:val="auto"/>
          <w:kern w:val="0"/>
          <w:sz w:val="32"/>
          <w:szCs w:val="32"/>
          <w:highlight w:val="none"/>
        </w:rPr>
        <w:t>经政协湖北省第十二届委员会第八次常委会议协商决定，省政协十二届三次会议于2020年1月11日至15日在武汉召开，应到700人，实到657人，十二届三次会议大会到会率93.86%</w:t>
      </w:r>
      <w:r>
        <w:rPr>
          <w:rFonts w:ascii="Arial Narrow" w:hAnsi="Arial Narrow" w:eastAsia="仿宋_GB2312" w:cs="Arial Narrow"/>
          <w:color w:val="auto"/>
          <w:kern w:val="0"/>
          <w:sz w:val="32"/>
          <w:szCs w:val="32"/>
          <w:highlight w:val="none"/>
        </w:rPr>
        <w:t>。</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②</w:t>
      </w:r>
      <w:r>
        <w:rPr>
          <w:rFonts w:ascii="Arial Narrow" w:hAnsi="Arial Narrow" w:eastAsia="仿宋_GB2312" w:cs="Arial Narrow"/>
          <w:color w:val="auto"/>
          <w:kern w:val="0"/>
          <w:sz w:val="32"/>
          <w:szCs w:val="32"/>
          <w:highlight w:val="none"/>
        </w:rPr>
        <w:t>委员会议递交提案比例（2.00分）：年初目标值80%，实际完成值</w:t>
      </w:r>
      <w:r>
        <w:rPr>
          <w:rFonts w:hint="eastAsia" w:ascii="Arial Narrow" w:hAnsi="Arial Narrow" w:eastAsia="仿宋_GB2312" w:cs="Arial Narrow"/>
          <w:color w:val="auto"/>
          <w:kern w:val="0"/>
          <w:sz w:val="32"/>
          <w:szCs w:val="32"/>
          <w:highlight w:val="none"/>
          <w:lang w:val="en-US" w:eastAsia="zh-CN"/>
        </w:rPr>
        <w:t>93.45</w:t>
      </w:r>
      <w:r>
        <w:rPr>
          <w:rFonts w:ascii="Arial Narrow" w:hAnsi="Arial Narrow" w:eastAsia="仿宋_GB2312" w:cs="Arial Narrow"/>
          <w:color w:val="auto"/>
          <w:kern w:val="0"/>
          <w:sz w:val="32"/>
          <w:szCs w:val="32"/>
          <w:highlight w:val="none"/>
        </w:rPr>
        <w:t>%，该指标得2.00分。</w:t>
      </w:r>
      <w:r>
        <w:rPr>
          <w:rFonts w:hint="eastAsia" w:ascii="Arial Narrow" w:hAnsi="Arial Narrow" w:eastAsia="仿宋_GB2312" w:cs="Arial Narrow"/>
          <w:color w:val="auto"/>
          <w:kern w:val="0"/>
          <w:sz w:val="32"/>
          <w:szCs w:val="32"/>
          <w:highlight w:val="none"/>
        </w:rPr>
        <w:t>本年度省政协十二届三次会议期间，共收到提案756件，全年收到提案809件，委员会议递交提案比例为93.45%。</w:t>
      </w:r>
    </w:p>
    <w:p>
      <w:pPr>
        <w:ind w:firstLine="640" w:firstLineChars="200"/>
        <w:rPr>
          <w:rFonts w:hint="eastAsia" w:ascii="Arial Narrow" w:hAnsi="Arial Narrow" w:eastAsia="仿宋_GB2312" w:cs="Arial Narrow"/>
          <w:color w:val="auto"/>
          <w:kern w:val="0"/>
          <w:sz w:val="32"/>
          <w:szCs w:val="32"/>
          <w:highlight w:val="none"/>
          <w:lang w:eastAsia="zh-CN"/>
        </w:rPr>
      </w:pPr>
      <w:r>
        <w:rPr>
          <w:rFonts w:hint="eastAsia" w:ascii="宋体" w:hAnsi="宋体" w:eastAsia="宋体" w:cs="宋体"/>
          <w:color w:val="auto"/>
          <w:kern w:val="0"/>
          <w:sz w:val="32"/>
          <w:szCs w:val="32"/>
          <w:highlight w:val="none"/>
        </w:rPr>
        <w:t>③</w:t>
      </w:r>
      <w:r>
        <w:rPr>
          <w:rFonts w:ascii="Arial Narrow" w:hAnsi="Arial Narrow" w:eastAsia="仿宋_GB2312" w:cs="Arial Narrow"/>
          <w:color w:val="auto"/>
          <w:kern w:val="0"/>
          <w:sz w:val="32"/>
          <w:szCs w:val="32"/>
          <w:highlight w:val="none"/>
        </w:rPr>
        <w:t>协作研讨类会议次数（1.50分）：年初目标值12次，实际完成值</w:t>
      </w:r>
      <w:r>
        <w:rPr>
          <w:rFonts w:hint="eastAsia" w:ascii="Arial Narrow" w:hAnsi="Arial Narrow" w:eastAsia="仿宋_GB2312" w:cs="Arial Narrow"/>
          <w:color w:val="auto"/>
          <w:kern w:val="0"/>
          <w:sz w:val="32"/>
          <w:szCs w:val="32"/>
          <w:highlight w:val="none"/>
          <w:lang w:val="en-US" w:eastAsia="zh-CN"/>
        </w:rPr>
        <w:t>12次</w:t>
      </w:r>
      <w:r>
        <w:rPr>
          <w:rFonts w:ascii="Arial Narrow" w:hAnsi="Arial Narrow" w:eastAsia="仿宋_GB2312" w:cs="Arial Narrow"/>
          <w:color w:val="auto"/>
          <w:kern w:val="0"/>
          <w:sz w:val="32"/>
          <w:szCs w:val="32"/>
          <w:highlight w:val="none"/>
        </w:rPr>
        <w:t>，该指标得1.50分。</w:t>
      </w:r>
      <w:r>
        <w:rPr>
          <w:rFonts w:hint="eastAsia" w:ascii="Arial Narrow" w:hAnsi="Arial Narrow" w:eastAsia="仿宋_GB2312" w:cs="Arial Narrow"/>
          <w:color w:val="auto"/>
          <w:kern w:val="0"/>
          <w:sz w:val="32"/>
          <w:szCs w:val="32"/>
          <w:highlight w:val="none"/>
        </w:rPr>
        <w:t>本年度共开展协作研讨类会议12次，包括全省市州政协工作经验交流会暨“协商在一线”工作推进会、省政协召开座谈会传达学习习近平总书记重要讲话精神等</w:t>
      </w:r>
      <w:r>
        <w:rPr>
          <w:rFonts w:hint="eastAsia" w:ascii="Arial Narrow" w:hAnsi="Arial Narrow" w:eastAsia="仿宋_GB2312" w:cs="Arial Narrow"/>
          <w:color w:val="auto"/>
          <w:kern w:val="0"/>
          <w:sz w:val="32"/>
          <w:szCs w:val="32"/>
          <w:highlight w:val="none"/>
          <w:lang w:eastAsia="zh-CN"/>
        </w:rPr>
        <w:t>。</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④</w:t>
      </w:r>
      <w:r>
        <w:rPr>
          <w:rFonts w:ascii="Arial Narrow" w:hAnsi="Arial Narrow" w:eastAsia="仿宋_GB2312" w:cs="Arial Narrow"/>
          <w:color w:val="auto"/>
          <w:kern w:val="0"/>
          <w:sz w:val="32"/>
          <w:szCs w:val="32"/>
          <w:highlight w:val="none"/>
        </w:rPr>
        <w:t>团结联谊类会议次数（1.50分）：年初目标值1次，实际完成值</w:t>
      </w:r>
      <w:r>
        <w:rPr>
          <w:rFonts w:hint="eastAsia" w:ascii="Arial Narrow" w:hAnsi="Arial Narrow" w:eastAsia="仿宋_GB2312" w:cs="Arial Narrow"/>
          <w:color w:val="auto"/>
          <w:kern w:val="0"/>
          <w:sz w:val="32"/>
          <w:szCs w:val="32"/>
          <w:highlight w:val="none"/>
          <w:lang w:val="en-US" w:eastAsia="zh-CN"/>
        </w:rPr>
        <w:t>0次</w:t>
      </w:r>
      <w:r>
        <w:rPr>
          <w:rFonts w:ascii="Arial Narrow" w:hAnsi="Arial Narrow" w:eastAsia="仿宋_GB2312" w:cs="Arial Narrow"/>
          <w:color w:val="auto"/>
          <w:kern w:val="0"/>
          <w:sz w:val="32"/>
          <w:szCs w:val="32"/>
          <w:highlight w:val="none"/>
        </w:rPr>
        <w:t>，该指标得</w:t>
      </w:r>
      <w:r>
        <w:rPr>
          <w:rFonts w:hint="eastAsia" w:ascii="Arial Narrow" w:hAnsi="Arial Narrow" w:eastAsia="仿宋_GB2312" w:cs="Arial Narrow"/>
          <w:color w:val="auto"/>
          <w:kern w:val="0"/>
          <w:sz w:val="32"/>
          <w:szCs w:val="32"/>
          <w:highlight w:val="none"/>
          <w:lang w:val="en-US" w:eastAsia="zh-CN"/>
        </w:rPr>
        <w:t>0.00</w:t>
      </w:r>
      <w:r>
        <w:rPr>
          <w:rFonts w:ascii="Arial Narrow" w:hAnsi="Arial Narrow" w:eastAsia="仿宋_GB2312" w:cs="Arial Narrow"/>
          <w:color w:val="auto"/>
          <w:kern w:val="0"/>
          <w:sz w:val="32"/>
          <w:szCs w:val="32"/>
          <w:highlight w:val="none"/>
        </w:rPr>
        <w:t>分</w:t>
      </w:r>
      <w:r>
        <w:rPr>
          <w:rFonts w:hint="eastAsia" w:ascii="Arial Narrow" w:hAnsi="Arial Narrow" w:eastAsia="仿宋_GB2312" w:cs="Arial Narrow"/>
          <w:color w:val="auto"/>
          <w:kern w:val="0"/>
          <w:sz w:val="32"/>
          <w:szCs w:val="32"/>
          <w:highlight w:val="none"/>
          <w:lang w:eastAsia="zh-CN"/>
        </w:rPr>
        <w:t>，</w:t>
      </w:r>
      <w:r>
        <w:rPr>
          <w:rFonts w:hint="eastAsia" w:ascii="Arial Narrow" w:hAnsi="Arial Narrow" w:eastAsia="仿宋_GB2312" w:cs="Arial Narrow"/>
          <w:color w:val="auto"/>
          <w:kern w:val="0"/>
          <w:sz w:val="32"/>
          <w:szCs w:val="32"/>
          <w:highlight w:val="none"/>
          <w:lang w:val="en-US" w:eastAsia="zh-CN"/>
        </w:rPr>
        <w:t>扣1.50分</w:t>
      </w:r>
      <w:r>
        <w:rPr>
          <w:rFonts w:ascii="Arial Narrow" w:hAnsi="Arial Narrow" w:eastAsia="仿宋_GB2312" w:cs="Arial Narrow"/>
          <w:color w:val="auto"/>
          <w:kern w:val="0"/>
          <w:sz w:val="32"/>
          <w:szCs w:val="32"/>
          <w:highlight w:val="none"/>
        </w:rPr>
        <w:t>。</w:t>
      </w:r>
      <w:r>
        <w:rPr>
          <w:rFonts w:hint="eastAsia" w:ascii="Arial Narrow" w:hAnsi="Arial Narrow" w:eastAsia="仿宋_GB2312" w:cs="Arial Narrow"/>
          <w:color w:val="auto"/>
          <w:kern w:val="0"/>
          <w:sz w:val="32"/>
          <w:szCs w:val="32"/>
          <w:highlight w:val="none"/>
        </w:rPr>
        <w:t>本年度未开展团结联谊类会议</w:t>
      </w:r>
      <w:r>
        <w:rPr>
          <w:rFonts w:ascii="Arial Narrow" w:hAnsi="Arial Narrow" w:eastAsia="仿宋_GB2312" w:cs="Arial Narrow"/>
          <w:color w:val="auto"/>
          <w:kern w:val="0"/>
          <w:sz w:val="32"/>
          <w:szCs w:val="32"/>
          <w:highlight w:val="none"/>
        </w:rPr>
        <w:t>。</w:t>
      </w:r>
    </w:p>
    <w:p>
      <w:pPr>
        <w:ind w:firstLine="640" w:firstLineChars="200"/>
        <w:rPr>
          <w:rFonts w:hint="default" w:ascii="Arial Narrow" w:hAnsi="Arial Narrow" w:eastAsia="仿宋_GB2312" w:cs="Arial Narrow"/>
          <w:color w:val="auto"/>
          <w:kern w:val="0"/>
          <w:sz w:val="32"/>
          <w:szCs w:val="32"/>
          <w:highlight w:val="none"/>
          <w:lang w:val="en-US" w:eastAsia="zh-CN"/>
        </w:rPr>
      </w:pPr>
      <w:r>
        <w:rPr>
          <w:rFonts w:hint="eastAsia" w:ascii="Arial Narrow" w:hAnsi="Arial Narrow" w:eastAsia="仿宋_GB2312" w:cs="Arial Narrow"/>
          <w:color w:val="auto"/>
          <w:kern w:val="0"/>
          <w:sz w:val="32"/>
          <w:szCs w:val="32"/>
          <w:highlight w:val="none"/>
          <w:lang w:val="en-US" w:eastAsia="zh-CN"/>
        </w:rPr>
        <w:t>未完成原因分析：</w:t>
      </w:r>
      <w:r>
        <w:rPr>
          <w:rFonts w:hint="eastAsia" w:ascii="Arial Narrow" w:hAnsi="Arial Narrow" w:eastAsia="仿宋_GB2312" w:cs="Times New Roman"/>
          <w:color w:val="auto"/>
          <w:kern w:val="0"/>
          <w:sz w:val="32"/>
          <w:szCs w:val="32"/>
          <w:highlight w:val="none"/>
          <w:lang w:val="en-US" w:eastAsia="zh-CN"/>
        </w:rPr>
        <w:t>综合考虑当前疫情防控工作的需要和年底全省的工作安排，今年暂停举办湖北省各界人士迎新年茶话会。</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⑤</w:t>
      </w:r>
      <w:r>
        <w:rPr>
          <w:rFonts w:ascii="Arial Narrow" w:hAnsi="Arial Narrow" w:eastAsia="仿宋_GB2312" w:cs="Arial Narrow"/>
          <w:color w:val="auto"/>
          <w:kern w:val="0"/>
          <w:sz w:val="32"/>
          <w:szCs w:val="32"/>
          <w:highlight w:val="none"/>
        </w:rPr>
        <w:t>协商议政类会议次数（1.50分）：年初目标值15次，实际完成值</w:t>
      </w:r>
      <w:r>
        <w:rPr>
          <w:rFonts w:hint="eastAsia" w:ascii="Arial Narrow" w:hAnsi="Arial Narrow" w:eastAsia="仿宋_GB2312" w:cs="Arial Narrow"/>
          <w:color w:val="auto"/>
          <w:kern w:val="0"/>
          <w:sz w:val="32"/>
          <w:szCs w:val="32"/>
          <w:highlight w:val="none"/>
          <w:lang w:val="en-US" w:eastAsia="zh-CN"/>
        </w:rPr>
        <w:t>15次</w:t>
      </w:r>
      <w:r>
        <w:rPr>
          <w:rFonts w:ascii="Arial Narrow" w:hAnsi="Arial Narrow" w:eastAsia="仿宋_GB2312" w:cs="Arial Narrow"/>
          <w:color w:val="auto"/>
          <w:kern w:val="0"/>
          <w:sz w:val="32"/>
          <w:szCs w:val="32"/>
          <w:highlight w:val="none"/>
        </w:rPr>
        <w:t>，该指标得</w:t>
      </w:r>
      <w:r>
        <w:rPr>
          <w:rFonts w:hint="eastAsia" w:ascii="Arial Narrow" w:hAnsi="Arial Narrow" w:eastAsia="仿宋_GB2312" w:cs="Arial Narrow"/>
          <w:color w:val="auto"/>
          <w:kern w:val="0"/>
          <w:sz w:val="32"/>
          <w:szCs w:val="32"/>
          <w:highlight w:val="none"/>
          <w:lang w:val="en-US" w:eastAsia="zh-CN"/>
        </w:rPr>
        <w:t>1.50</w:t>
      </w:r>
      <w:r>
        <w:rPr>
          <w:rFonts w:ascii="Arial Narrow" w:hAnsi="Arial Narrow" w:eastAsia="仿宋_GB2312" w:cs="Arial Narrow"/>
          <w:color w:val="auto"/>
          <w:kern w:val="0"/>
          <w:sz w:val="32"/>
          <w:szCs w:val="32"/>
          <w:highlight w:val="none"/>
        </w:rPr>
        <w:t>分。</w:t>
      </w:r>
      <w:r>
        <w:rPr>
          <w:rFonts w:hint="eastAsia" w:ascii="Arial Narrow" w:hAnsi="Arial Narrow" w:eastAsia="仿宋_GB2312" w:cs="Arial Narrow"/>
          <w:color w:val="auto"/>
          <w:kern w:val="0"/>
          <w:sz w:val="32"/>
          <w:szCs w:val="32"/>
          <w:highlight w:val="none"/>
        </w:rPr>
        <w:t>本年度共开展协商议政类会议</w:t>
      </w:r>
      <w:r>
        <w:rPr>
          <w:rFonts w:hint="eastAsia" w:ascii="Arial Narrow" w:hAnsi="Arial Narrow" w:eastAsia="仿宋_GB2312" w:cs="Arial Narrow"/>
          <w:color w:val="auto"/>
          <w:kern w:val="0"/>
          <w:sz w:val="32"/>
          <w:szCs w:val="32"/>
          <w:highlight w:val="none"/>
          <w:lang w:val="en-US" w:eastAsia="zh-CN"/>
        </w:rPr>
        <w:t>15</w:t>
      </w:r>
      <w:r>
        <w:rPr>
          <w:rFonts w:hint="eastAsia" w:ascii="Arial Narrow" w:hAnsi="Arial Narrow" w:eastAsia="仿宋_GB2312" w:cs="Arial Narrow"/>
          <w:color w:val="auto"/>
          <w:kern w:val="0"/>
          <w:sz w:val="32"/>
          <w:szCs w:val="32"/>
          <w:highlight w:val="none"/>
        </w:rPr>
        <w:t>次，包括省政协召开月度专题协商会、聚焦科学编制“十四五”规划协商建言、聚焦发挥民主在社会治理中的重要作用议政建言、聚焦持续推进产业扶贫协商建言等</w:t>
      </w:r>
      <w:r>
        <w:rPr>
          <w:rFonts w:ascii="Arial Narrow" w:hAnsi="Arial Narrow" w:eastAsia="仿宋_GB2312" w:cs="Arial Narrow"/>
          <w:color w:val="auto"/>
          <w:kern w:val="0"/>
          <w:sz w:val="32"/>
          <w:szCs w:val="32"/>
          <w:highlight w:val="none"/>
        </w:rPr>
        <w:t>。</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⑥</w:t>
      </w:r>
      <w:r>
        <w:rPr>
          <w:rFonts w:ascii="Arial Narrow" w:hAnsi="Arial Narrow" w:eastAsia="仿宋_GB2312" w:cs="Arial Narrow"/>
          <w:color w:val="auto"/>
          <w:kern w:val="0"/>
          <w:sz w:val="32"/>
          <w:szCs w:val="32"/>
          <w:highlight w:val="none"/>
        </w:rPr>
        <w:t>人均每天支出金额（2.00分）：年初目标值按会议预算执行，实际完成值按会议预算执行，该指标得2.00分。</w:t>
      </w:r>
      <w:r>
        <w:rPr>
          <w:rFonts w:hint="eastAsia" w:ascii="Arial Narrow" w:hAnsi="Arial Narrow" w:eastAsia="仿宋_GB2312" w:cs="Arial Narrow"/>
          <w:color w:val="auto"/>
          <w:kern w:val="0"/>
          <w:sz w:val="32"/>
          <w:szCs w:val="32"/>
          <w:highlight w:val="none"/>
        </w:rPr>
        <w:t>省政协十二届三次会议共参会</w:t>
      </w:r>
      <w:r>
        <w:rPr>
          <w:rFonts w:hint="eastAsia" w:ascii="Arial Narrow" w:hAnsi="Arial Narrow" w:eastAsia="仿宋_GB2312" w:cs="Times New Roman"/>
          <w:color w:val="auto"/>
          <w:kern w:val="0"/>
          <w:sz w:val="32"/>
          <w:szCs w:val="32"/>
          <w:highlight w:val="none"/>
          <w:lang w:val="en-US" w:eastAsia="zh-CN"/>
        </w:rPr>
        <w:t>1776</w:t>
      </w:r>
      <w:r>
        <w:rPr>
          <w:rFonts w:hint="eastAsia" w:ascii="Arial Narrow" w:hAnsi="Arial Narrow" w:eastAsia="仿宋_GB2312" w:cs="Times New Roman"/>
          <w:color w:val="auto"/>
          <w:kern w:val="0"/>
          <w:sz w:val="32"/>
          <w:szCs w:val="32"/>
          <w:highlight w:val="none"/>
        </w:rPr>
        <w:t>人，其中正式代表</w:t>
      </w:r>
      <w:r>
        <w:rPr>
          <w:rFonts w:hint="eastAsia" w:ascii="Arial Narrow" w:hAnsi="Arial Narrow" w:eastAsia="仿宋_GB2312" w:cs="Times New Roman"/>
          <w:color w:val="auto"/>
          <w:kern w:val="0"/>
          <w:sz w:val="32"/>
          <w:szCs w:val="32"/>
          <w:highlight w:val="none"/>
          <w:lang w:val="en-US" w:eastAsia="zh-CN"/>
        </w:rPr>
        <w:t>969</w:t>
      </w:r>
      <w:r>
        <w:rPr>
          <w:rFonts w:hint="eastAsia" w:ascii="Arial Narrow" w:hAnsi="Arial Narrow" w:eastAsia="仿宋_GB2312" w:cs="Times New Roman"/>
          <w:color w:val="auto"/>
          <w:kern w:val="0"/>
          <w:sz w:val="32"/>
          <w:szCs w:val="32"/>
          <w:highlight w:val="none"/>
        </w:rPr>
        <w:t>人，工作人员507人</w:t>
      </w:r>
      <w:r>
        <w:rPr>
          <w:rFonts w:hint="eastAsia" w:ascii="Arial Narrow" w:hAnsi="Arial Narrow" w:eastAsia="仿宋_GB2312" w:cs="Times New Roman"/>
          <w:color w:val="auto"/>
          <w:kern w:val="0"/>
          <w:sz w:val="32"/>
          <w:szCs w:val="32"/>
          <w:highlight w:val="none"/>
          <w:lang w:eastAsia="zh-CN"/>
        </w:rPr>
        <w:t>，两会记者</w:t>
      </w:r>
      <w:r>
        <w:rPr>
          <w:rFonts w:hint="eastAsia" w:ascii="Arial Narrow" w:hAnsi="Arial Narrow" w:eastAsia="仿宋_GB2312" w:cs="Times New Roman"/>
          <w:color w:val="auto"/>
          <w:kern w:val="0"/>
          <w:sz w:val="32"/>
          <w:szCs w:val="32"/>
          <w:highlight w:val="none"/>
          <w:lang w:val="en-US" w:eastAsia="zh-CN"/>
        </w:rPr>
        <w:t>300人</w:t>
      </w:r>
      <w:r>
        <w:rPr>
          <w:rFonts w:hint="eastAsia" w:ascii="Arial Narrow" w:hAnsi="Arial Narrow" w:eastAsia="仿宋_GB2312" w:cs="Times New Roman"/>
          <w:color w:val="auto"/>
          <w:kern w:val="0"/>
          <w:sz w:val="32"/>
          <w:szCs w:val="32"/>
          <w:highlight w:val="none"/>
          <w:lang w:eastAsia="zh-CN"/>
        </w:rPr>
        <w:t>；</w:t>
      </w:r>
      <w:r>
        <w:rPr>
          <w:rFonts w:hint="eastAsia" w:ascii="Arial Narrow" w:hAnsi="Arial Narrow" w:eastAsia="仿宋_GB2312" w:cs="Arial Narrow"/>
          <w:color w:val="auto"/>
          <w:kern w:val="0"/>
          <w:sz w:val="32"/>
          <w:szCs w:val="32"/>
          <w:highlight w:val="none"/>
        </w:rPr>
        <w:t>相关费用共695.62万元，其中住宿费334.83万元，伙食费141.98万元，会场租金117.52万元，医药费3.67万元，交通费32.44万元，文件印刷费38.77万元，其他费用26.41万元；</w:t>
      </w:r>
      <w:r>
        <w:rPr>
          <w:rFonts w:hint="eastAsia" w:ascii="Arial Narrow" w:hAnsi="Arial Narrow" w:eastAsia="仿宋_GB2312" w:cs="Times New Roman"/>
          <w:color w:val="auto"/>
          <w:kern w:val="0"/>
          <w:sz w:val="32"/>
          <w:szCs w:val="32"/>
          <w:highlight w:val="none"/>
        </w:rPr>
        <w:t>人均每天支出金额</w:t>
      </w:r>
      <w:r>
        <w:rPr>
          <w:rFonts w:hint="eastAsia" w:ascii="Arial Narrow" w:hAnsi="Arial Narrow" w:eastAsia="仿宋_GB2312" w:cs="Times New Roman"/>
          <w:color w:val="auto"/>
          <w:kern w:val="0"/>
          <w:sz w:val="32"/>
          <w:szCs w:val="32"/>
          <w:highlight w:val="none"/>
          <w:lang w:val="en-US" w:eastAsia="zh-CN"/>
        </w:rPr>
        <w:t>为0.056万元，</w:t>
      </w:r>
      <w:r>
        <w:rPr>
          <w:rFonts w:hint="eastAsia" w:ascii="Arial Narrow" w:hAnsi="Arial Narrow" w:eastAsia="仿宋_GB2312" w:cs="Arial Narrow"/>
          <w:color w:val="auto"/>
          <w:kern w:val="0"/>
          <w:sz w:val="32"/>
          <w:szCs w:val="32"/>
          <w:highlight w:val="none"/>
        </w:rPr>
        <w:t>严格按会议预算执行。</w:t>
      </w:r>
    </w:p>
    <w:p>
      <w:pPr>
        <w:ind w:firstLine="640" w:firstLineChars="200"/>
        <w:outlineLvl w:val="5"/>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2）效益指标完成情况分析</w:t>
      </w:r>
    </w:p>
    <w:p>
      <w:pPr>
        <w:pStyle w:val="13"/>
        <w:ind w:firstLine="707" w:firstLineChars="221"/>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①</w:t>
      </w:r>
      <w:r>
        <w:rPr>
          <w:rFonts w:ascii="Arial Narrow" w:hAnsi="Arial Narrow" w:eastAsia="仿宋_GB2312" w:cs="Arial Narrow"/>
          <w:color w:val="auto"/>
          <w:kern w:val="0"/>
          <w:sz w:val="32"/>
          <w:szCs w:val="32"/>
          <w:highlight w:val="none"/>
        </w:rPr>
        <w:t>发挥政协在国家治理中的作用（</w:t>
      </w:r>
      <w:r>
        <w:rPr>
          <w:rFonts w:hint="eastAsia" w:ascii="Arial Narrow" w:hAnsi="Arial Narrow" w:eastAsia="仿宋_GB2312" w:cs="Arial Narrow"/>
          <w:color w:val="auto"/>
          <w:kern w:val="0"/>
          <w:sz w:val="32"/>
          <w:szCs w:val="32"/>
          <w:highlight w:val="none"/>
          <w:lang w:val="en-US" w:eastAsia="zh-CN"/>
        </w:rPr>
        <w:t>4</w:t>
      </w:r>
      <w:r>
        <w:rPr>
          <w:rFonts w:ascii="Arial Narrow" w:hAnsi="Arial Narrow" w:eastAsia="仿宋_GB2312" w:cs="Arial Narrow"/>
          <w:color w:val="auto"/>
          <w:kern w:val="0"/>
          <w:sz w:val="32"/>
          <w:szCs w:val="32"/>
          <w:highlight w:val="none"/>
        </w:rPr>
        <w:t>.00分）：年初目标值效果显著，实际完成值效果显著，该指标得</w:t>
      </w:r>
      <w:r>
        <w:rPr>
          <w:rFonts w:hint="eastAsia" w:ascii="Arial Narrow" w:hAnsi="Arial Narrow" w:eastAsia="仿宋_GB2312" w:cs="Arial Narrow"/>
          <w:color w:val="auto"/>
          <w:kern w:val="0"/>
          <w:sz w:val="32"/>
          <w:szCs w:val="32"/>
          <w:highlight w:val="none"/>
          <w:lang w:val="en-US" w:eastAsia="zh-CN"/>
        </w:rPr>
        <w:t>4</w:t>
      </w:r>
      <w:r>
        <w:rPr>
          <w:rFonts w:ascii="Arial Narrow" w:hAnsi="Arial Narrow" w:eastAsia="仿宋_GB2312" w:cs="Arial Narrow"/>
          <w:color w:val="auto"/>
          <w:kern w:val="0"/>
          <w:sz w:val="32"/>
          <w:szCs w:val="32"/>
          <w:highlight w:val="none"/>
        </w:rPr>
        <w:t>.00分。</w:t>
      </w:r>
      <w:r>
        <w:rPr>
          <w:rFonts w:hint="eastAsia" w:ascii="Arial Narrow" w:hAnsi="Arial Narrow" w:eastAsia="仿宋_GB2312" w:cs="Arial Narrow"/>
          <w:color w:val="auto"/>
          <w:kern w:val="0"/>
          <w:sz w:val="32"/>
          <w:szCs w:val="32"/>
          <w:highlight w:val="none"/>
        </w:rPr>
        <w:t>本年度委员们认真学习贯彻习近平新时代中国特色社会主义思想，以饱满的政治热情和高度的社会责任感，围绕打好“三大攻坚战”、深入实施“一芯两带三区”区域和产业发展布局、全面建成小康社会和“十三五”规划收官等重要问题，积极建言资政，广泛凝聚共识，展现新时代政协委员的新作为新风貌，充分发挥了人民政协大团结大联合组织的作用，广泛凝心聚力。此外，通过调查问卷结果统计，在“您认为湖北省政协在政治协商、民主监督、参政议政的职能上发挥的效果如何？”这一问题中，收回有效问卷224份，其中：204人表示有效果，占比91.07%；17人表示较有效果，占比7.59%；3人表示一般，占比1.34%。从不同身份人员回答情况来看，各类人员对湖北省政协在政治协商、民主监督、参政议政的职能上发挥的效果认可度均较高。</w:t>
      </w:r>
    </w:p>
    <w:p>
      <w:pPr>
        <w:pStyle w:val="13"/>
        <w:ind w:firstLine="707" w:firstLineChars="221"/>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②</w:t>
      </w:r>
      <w:r>
        <w:rPr>
          <w:rFonts w:ascii="Arial Narrow" w:hAnsi="Arial Narrow" w:eastAsia="仿宋_GB2312" w:cs="Arial Narrow"/>
          <w:color w:val="auto"/>
          <w:kern w:val="0"/>
          <w:sz w:val="32"/>
          <w:szCs w:val="32"/>
          <w:highlight w:val="none"/>
        </w:rPr>
        <w:t>社会关注度高（</w:t>
      </w:r>
      <w:r>
        <w:rPr>
          <w:rFonts w:hint="eastAsia" w:ascii="Arial Narrow" w:hAnsi="Arial Narrow" w:eastAsia="仿宋_GB2312" w:cs="Arial Narrow"/>
          <w:color w:val="auto"/>
          <w:kern w:val="0"/>
          <w:sz w:val="32"/>
          <w:szCs w:val="32"/>
          <w:highlight w:val="none"/>
          <w:lang w:val="en-US" w:eastAsia="zh-CN"/>
        </w:rPr>
        <w:t>4</w:t>
      </w:r>
      <w:r>
        <w:rPr>
          <w:rFonts w:ascii="Arial Narrow" w:hAnsi="Arial Narrow" w:eastAsia="仿宋_GB2312" w:cs="Arial Narrow"/>
          <w:color w:val="auto"/>
          <w:kern w:val="0"/>
          <w:sz w:val="32"/>
          <w:szCs w:val="32"/>
          <w:highlight w:val="none"/>
        </w:rPr>
        <w:t>.00分）：年初目标值社会关注度高，实际完成值社会关注度高</w:t>
      </w:r>
      <w:r>
        <w:rPr>
          <w:rFonts w:hint="eastAsia" w:ascii="Arial Narrow" w:hAnsi="Arial Narrow" w:eastAsia="仿宋_GB2312" w:cs="Arial Narrow"/>
          <w:color w:val="auto"/>
          <w:kern w:val="0"/>
          <w:sz w:val="32"/>
          <w:szCs w:val="32"/>
          <w:highlight w:val="none"/>
          <w:lang w:eastAsia="zh-CN"/>
        </w:rPr>
        <w:t>，</w:t>
      </w:r>
      <w:r>
        <w:rPr>
          <w:rFonts w:ascii="Arial Narrow" w:hAnsi="Arial Narrow" w:eastAsia="仿宋_GB2312" w:cs="Arial Narrow"/>
          <w:color w:val="auto"/>
          <w:kern w:val="0"/>
          <w:sz w:val="32"/>
          <w:szCs w:val="32"/>
          <w:highlight w:val="none"/>
        </w:rPr>
        <w:t>该指标得</w:t>
      </w:r>
      <w:r>
        <w:rPr>
          <w:rFonts w:hint="eastAsia" w:ascii="Arial Narrow" w:hAnsi="Arial Narrow" w:eastAsia="仿宋_GB2312" w:cs="Arial Narrow"/>
          <w:color w:val="auto"/>
          <w:kern w:val="0"/>
          <w:sz w:val="32"/>
          <w:szCs w:val="32"/>
          <w:highlight w:val="none"/>
          <w:lang w:val="en-US" w:eastAsia="zh-CN"/>
        </w:rPr>
        <w:t>4</w:t>
      </w:r>
      <w:r>
        <w:rPr>
          <w:rFonts w:ascii="Arial Narrow" w:hAnsi="Arial Narrow" w:eastAsia="仿宋_GB2312" w:cs="Arial Narrow"/>
          <w:color w:val="auto"/>
          <w:kern w:val="0"/>
          <w:sz w:val="32"/>
          <w:szCs w:val="32"/>
          <w:highlight w:val="none"/>
        </w:rPr>
        <w:t>.00分。</w:t>
      </w:r>
      <w:r>
        <w:rPr>
          <w:rFonts w:hint="eastAsia" w:ascii="Arial Narrow" w:hAnsi="Arial Narrow" w:eastAsia="仿宋_GB2312" w:cs="Arial Narrow"/>
          <w:color w:val="auto"/>
          <w:kern w:val="0"/>
          <w:sz w:val="32"/>
          <w:szCs w:val="32"/>
          <w:highlight w:val="none"/>
        </w:rPr>
        <w:t>省政协创新政协例会报道形式、政协活动报道形式、政协委员报到形式，加强与市级新闻单位的沟通和写作，努力扩大宣传范围，巩固宣传阵地，扩大政协影响，社会关注度高。此外，通过调查问卷结果分析，在“您认为2021年1月召开的湖北省第十二届委员会第四次会议产生的社会影响力和成效如何？”这一问题中，收回有效问卷224份，其中：210人表示有成效，占比93.75%；13人表示较有成效，占比5.8%；1人表示一般，占比0.45%。从不同身份人员回答情况来看，各类人员对会议的社会关注度和成效认可度均较高。</w:t>
      </w:r>
    </w:p>
    <w:p>
      <w:pPr>
        <w:numPr>
          <w:ilvl w:val="0"/>
          <w:numId w:val="2"/>
        </w:numPr>
        <w:ind w:firstLine="640" w:firstLineChars="200"/>
        <w:outlineLvl w:val="3"/>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年度绩效目标二</w:t>
      </w:r>
    </w:p>
    <w:p>
      <w:pPr>
        <w:ind w:firstLine="640" w:firstLineChars="200"/>
        <w:outlineLvl w:val="5"/>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1）产出指标完成情况分析</w:t>
      </w:r>
    </w:p>
    <w:p>
      <w:pPr>
        <w:pStyle w:val="13"/>
        <w:ind w:firstLine="64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①</w:t>
      </w:r>
      <w:r>
        <w:rPr>
          <w:rFonts w:ascii="Arial Narrow" w:hAnsi="Arial Narrow" w:eastAsia="仿宋_GB2312" w:cs="Arial Narrow"/>
          <w:color w:val="auto"/>
          <w:kern w:val="0"/>
          <w:sz w:val="32"/>
          <w:szCs w:val="32"/>
          <w:highlight w:val="none"/>
        </w:rPr>
        <w:t>组织委员调研活动次数（</w:t>
      </w:r>
      <w:r>
        <w:rPr>
          <w:rFonts w:hint="eastAsia" w:ascii="Arial Narrow" w:hAnsi="Arial Narrow" w:eastAsia="仿宋_GB2312" w:cs="Arial Narrow"/>
          <w:color w:val="auto"/>
          <w:kern w:val="0"/>
          <w:sz w:val="32"/>
          <w:szCs w:val="32"/>
          <w:highlight w:val="none"/>
          <w:lang w:val="en-US" w:eastAsia="zh-CN"/>
        </w:rPr>
        <w:t>2.00</w:t>
      </w:r>
      <w:r>
        <w:rPr>
          <w:rFonts w:ascii="Arial Narrow" w:hAnsi="Arial Narrow" w:eastAsia="仿宋_GB2312" w:cs="Arial Narrow"/>
          <w:color w:val="auto"/>
          <w:kern w:val="0"/>
          <w:sz w:val="32"/>
          <w:szCs w:val="32"/>
          <w:highlight w:val="none"/>
        </w:rPr>
        <w:t>分）：年初目标值50次，实际完成值64次，该指标得</w:t>
      </w:r>
      <w:r>
        <w:rPr>
          <w:rFonts w:hint="eastAsia" w:ascii="Arial Narrow" w:hAnsi="Arial Narrow" w:eastAsia="仿宋_GB2312" w:cs="Arial Narrow"/>
          <w:color w:val="auto"/>
          <w:kern w:val="0"/>
          <w:sz w:val="32"/>
          <w:szCs w:val="32"/>
          <w:highlight w:val="none"/>
        </w:rPr>
        <w:t>2.00</w:t>
      </w:r>
      <w:r>
        <w:rPr>
          <w:rFonts w:ascii="Arial Narrow" w:hAnsi="Arial Narrow" w:eastAsia="仿宋_GB2312" w:cs="Arial Narrow"/>
          <w:color w:val="auto"/>
          <w:kern w:val="0"/>
          <w:sz w:val="32"/>
          <w:szCs w:val="32"/>
          <w:highlight w:val="none"/>
        </w:rPr>
        <w:t>分。本年度机关各委员会积极开展专题调研、界别协商座谈会、专项民主监督调研等活动。如提案委员</w:t>
      </w:r>
      <w:r>
        <w:rPr>
          <w:rFonts w:hint="eastAsia" w:ascii="Arial Narrow" w:hAnsi="Arial Narrow" w:eastAsia="仿宋_GB2312" w:cs="Arial Narrow"/>
          <w:color w:val="auto"/>
          <w:kern w:val="0"/>
          <w:sz w:val="32"/>
          <w:szCs w:val="32"/>
          <w:highlight w:val="none"/>
          <w:lang w:val="en-US" w:eastAsia="zh-CN"/>
        </w:rPr>
        <w:t>会</w:t>
      </w:r>
      <w:r>
        <w:rPr>
          <w:rFonts w:ascii="Arial Narrow" w:hAnsi="Arial Narrow" w:eastAsia="仿宋_GB2312" w:cs="Arial Narrow"/>
          <w:color w:val="auto"/>
          <w:kern w:val="0"/>
          <w:sz w:val="32"/>
          <w:szCs w:val="32"/>
          <w:highlight w:val="none"/>
        </w:rPr>
        <w:t>开展“完善人才发现、培养、激励机制，加强重点产业人才队伍建设”月度专题协商会议等；</w:t>
      </w:r>
      <w:r>
        <w:rPr>
          <w:rFonts w:hint="eastAsia" w:ascii="Arial Narrow" w:hAnsi="Arial Narrow" w:eastAsia="仿宋_GB2312" w:cs="Arial Narrow"/>
          <w:color w:val="auto"/>
          <w:kern w:val="0"/>
          <w:sz w:val="32"/>
          <w:szCs w:val="32"/>
          <w:highlight w:val="none"/>
        </w:rPr>
        <w:t>文化文史和学习委员会</w:t>
      </w:r>
      <w:r>
        <w:rPr>
          <w:rFonts w:ascii="Arial Narrow" w:hAnsi="Arial Narrow" w:eastAsia="仿宋_GB2312" w:cs="Arial Narrow"/>
          <w:color w:val="auto"/>
          <w:kern w:val="0"/>
          <w:sz w:val="32"/>
          <w:szCs w:val="32"/>
          <w:highlight w:val="none"/>
        </w:rPr>
        <w:t>召开社科界、文艺新闻出版界界别协商座谈会、开展“疫情‘大考’下的中国制度优势”界别协商活动等；</w:t>
      </w:r>
      <w:r>
        <w:rPr>
          <w:rFonts w:hint="eastAsia" w:ascii="Arial Narrow" w:hAnsi="Arial Narrow" w:eastAsia="仿宋_GB2312" w:cs="Arial Narrow"/>
          <w:color w:val="auto"/>
          <w:kern w:val="0"/>
          <w:sz w:val="32"/>
          <w:szCs w:val="32"/>
          <w:highlight w:val="none"/>
        </w:rPr>
        <w:t>人口资源环境委员会</w:t>
      </w:r>
      <w:r>
        <w:rPr>
          <w:rFonts w:ascii="Arial Narrow" w:hAnsi="Arial Narrow" w:eastAsia="仿宋_GB2312" w:cs="Arial Narrow"/>
          <w:color w:val="auto"/>
          <w:kern w:val="0"/>
          <w:sz w:val="32"/>
          <w:szCs w:val="32"/>
          <w:highlight w:val="none"/>
        </w:rPr>
        <w:t>赴襄阳十堰开展专项民主监督调研、赴荆门、潜江开展监督性调研等；港澳台侨和外事委员会走访港澳台侨资企业、赴恩施咸丰县开展定点扶贫工作调研等。</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②</w:t>
      </w:r>
      <w:r>
        <w:rPr>
          <w:rFonts w:ascii="Arial Narrow" w:hAnsi="Arial Narrow" w:eastAsia="仿宋_GB2312" w:cs="Arial Narrow"/>
          <w:color w:val="auto"/>
          <w:kern w:val="0"/>
          <w:sz w:val="32"/>
          <w:szCs w:val="32"/>
          <w:highlight w:val="none"/>
        </w:rPr>
        <w:t>反映调研考察成果的信息数量（2.00分）：年初目标值45项，实际完成值89项，该指标得2.00分。本年度组织专题调研、界别协商座谈会、专项民主监督调研等活动64次，共形成反映调研考察成果的信息89项。如提案委员会开展协商会议后形成《关于加强我省重点产业人才队伍建设的若干建议》、《加强创业和培训扶持，强化产业扶贫人才保障》等调研成果；文化文史和学习委</w:t>
      </w:r>
      <w:r>
        <w:rPr>
          <w:rFonts w:hint="eastAsia" w:ascii="Arial Narrow" w:hAnsi="Arial Narrow" w:eastAsia="仿宋_GB2312" w:cs="Arial Narrow"/>
          <w:color w:val="auto"/>
          <w:kern w:val="0"/>
          <w:sz w:val="32"/>
          <w:szCs w:val="32"/>
          <w:highlight w:val="none"/>
          <w:lang w:val="en-US" w:eastAsia="zh-CN"/>
        </w:rPr>
        <w:t>员会</w:t>
      </w:r>
      <w:r>
        <w:rPr>
          <w:rFonts w:ascii="Arial Narrow" w:hAnsi="Arial Narrow" w:eastAsia="仿宋_GB2312" w:cs="Arial Narrow"/>
          <w:color w:val="auto"/>
          <w:kern w:val="0"/>
          <w:sz w:val="32"/>
          <w:szCs w:val="32"/>
          <w:highlight w:val="none"/>
        </w:rPr>
        <w:t>开展协商活动后形成省政协社科界、文艺界、新闻出版界“疫情‘大考’下的中国制度优势——以湖北抗击新冠肺炎疫情为例”报告等调研成果；</w:t>
      </w:r>
      <w:r>
        <w:rPr>
          <w:rFonts w:hint="eastAsia" w:ascii="Arial Narrow" w:hAnsi="Arial Narrow" w:eastAsia="仿宋_GB2312" w:cs="Arial Narrow"/>
          <w:color w:val="auto"/>
          <w:kern w:val="0"/>
          <w:sz w:val="32"/>
          <w:szCs w:val="32"/>
          <w:highlight w:val="none"/>
        </w:rPr>
        <w:t>人口资源环境委员会</w:t>
      </w:r>
      <w:r>
        <w:rPr>
          <w:rFonts w:ascii="Arial Narrow" w:hAnsi="Arial Narrow" w:eastAsia="仿宋_GB2312" w:cs="Arial Narrow"/>
          <w:color w:val="auto"/>
          <w:kern w:val="0"/>
          <w:sz w:val="32"/>
          <w:szCs w:val="32"/>
          <w:highlight w:val="none"/>
        </w:rPr>
        <w:t>开展民主监督调研后形成“加强湖北汉江岸线保护与利用”专项民主监督学习、以科技创新推动湖北化工产业绿色发展等调研成果；港澳台侨和外事委员会开展调研后形成加快推进立体智慧交通建设若干建议提案、由长江绿色经济和创新驱动发展带引领湖北高质量发展的建议等调研成果。</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③</w:t>
      </w:r>
      <w:r>
        <w:rPr>
          <w:rFonts w:ascii="Arial Narrow" w:hAnsi="Arial Narrow" w:eastAsia="仿宋_GB2312" w:cs="Arial Narrow"/>
          <w:color w:val="auto"/>
          <w:kern w:val="0"/>
          <w:sz w:val="32"/>
          <w:szCs w:val="32"/>
          <w:highlight w:val="none"/>
        </w:rPr>
        <w:t>根据民主监督内容的需要，合理安排委员参与相关活动（</w:t>
      </w:r>
      <w:r>
        <w:rPr>
          <w:rFonts w:hint="eastAsia" w:ascii="Arial Narrow" w:hAnsi="Arial Narrow" w:eastAsia="仿宋_GB2312" w:cs="Arial Narrow"/>
          <w:color w:val="auto"/>
          <w:kern w:val="0"/>
          <w:sz w:val="32"/>
          <w:szCs w:val="32"/>
          <w:highlight w:val="none"/>
          <w:lang w:val="en-US" w:eastAsia="zh-CN"/>
        </w:rPr>
        <w:t>2.00</w:t>
      </w:r>
      <w:r>
        <w:rPr>
          <w:rFonts w:ascii="Arial Narrow" w:hAnsi="Arial Narrow" w:eastAsia="仿宋_GB2312" w:cs="Arial Narrow"/>
          <w:color w:val="auto"/>
          <w:kern w:val="0"/>
          <w:sz w:val="32"/>
          <w:szCs w:val="32"/>
          <w:highlight w:val="none"/>
        </w:rPr>
        <w:t>分）：年初目标值合理安排，实际完成值合理安排，该指标得</w:t>
      </w:r>
      <w:r>
        <w:rPr>
          <w:rFonts w:hint="eastAsia" w:ascii="Arial Narrow" w:hAnsi="Arial Narrow" w:eastAsia="仿宋_GB2312" w:cs="Arial Narrow"/>
          <w:color w:val="auto"/>
          <w:kern w:val="0"/>
          <w:sz w:val="32"/>
          <w:szCs w:val="32"/>
          <w:highlight w:val="none"/>
          <w:lang w:val="en-US" w:eastAsia="zh-CN"/>
        </w:rPr>
        <w:t>2.00</w:t>
      </w:r>
      <w:r>
        <w:rPr>
          <w:rFonts w:ascii="Arial Narrow" w:hAnsi="Arial Narrow" w:eastAsia="仿宋_GB2312" w:cs="Arial Narrow"/>
          <w:color w:val="auto"/>
          <w:kern w:val="0"/>
          <w:sz w:val="32"/>
          <w:szCs w:val="32"/>
          <w:highlight w:val="none"/>
        </w:rPr>
        <w:t>分。本年度机关各委员会积极开展界别活动，合理安排参加委员界别、专业结构及成员规模，如提案委员会为深入了解疫后重振与脱贫攻坚重点提案办理情况，全力配合督办工作，省政协常务副主席率队赴十堰市开展调研活动，参与人员包括省卫健委、省民盟、省民建相关同志；社会和法制委员会为组织青年参与社会治理，召开“发挥协商民主在社会治理中的重要作用”月度专题协商会，参会人员包含省政协共青团界别、青联界别等；港澳台侨和外事委员会召开为期2天的“加强华侨华人社团联谊，促进湖北对外开放”界别协商座谈会，参与人员包括省政协副主席，港澳台侨和外事委员会主任等，结构和规模安排合理。</w:t>
      </w:r>
    </w:p>
    <w:p>
      <w:pPr>
        <w:ind w:firstLine="640" w:firstLineChars="200"/>
        <w:outlineLvl w:val="5"/>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2）效益指标完成情况分析</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①</w:t>
      </w:r>
      <w:r>
        <w:rPr>
          <w:rFonts w:ascii="Arial Narrow" w:hAnsi="Arial Narrow" w:eastAsia="仿宋_GB2312" w:cs="Arial Narrow"/>
          <w:color w:val="auto"/>
          <w:kern w:val="0"/>
          <w:sz w:val="32"/>
          <w:szCs w:val="32"/>
          <w:highlight w:val="none"/>
        </w:rPr>
        <w:t>通过开展民主监督落实推动相关工作进展情况（</w:t>
      </w:r>
      <w:r>
        <w:rPr>
          <w:rFonts w:hint="eastAsia" w:ascii="Arial Narrow" w:hAnsi="Arial Narrow" w:eastAsia="仿宋_GB2312" w:cs="Arial Narrow"/>
          <w:color w:val="auto"/>
          <w:kern w:val="0"/>
          <w:sz w:val="32"/>
          <w:szCs w:val="32"/>
          <w:highlight w:val="none"/>
          <w:lang w:val="en-US" w:eastAsia="zh-CN"/>
        </w:rPr>
        <w:t>4</w:t>
      </w:r>
      <w:r>
        <w:rPr>
          <w:rFonts w:ascii="Arial Narrow" w:hAnsi="Arial Narrow" w:eastAsia="仿宋_GB2312" w:cs="Arial Narrow"/>
          <w:color w:val="auto"/>
          <w:kern w:val="0"/>
          <w:sz w:val="32"/>
          <w:szCs w:val="32"/>
          <w:highlight w:val="none"/>
        </w:rPr>
        <w:t>.00分）：年初目标值有力推动，实际完成值有力推动，该指标得</w:t>
      </w:r>
      <w:r>
        <w:rPr>
          <w:rFonts w:hint="eastAsia" w:ascii="Arial Narrow" w:hAnsi="Arial Narrow" w:eastAsia="仿宋_GB2312" w:cs="Arial Narrow"/>
          <w:color w:val="auto"/>
          <w:kern w:val="0"/>
          <w:sz w:val="32"/>
          <w:szCs w:val="32"/>
          <w:highlight w:val="none"/>
          <w:lang w:val="en-US" w:eastAsia="zh-CN"/>
        </w:rPr>
        <w:t>4</w:t>
      </w:r>
      <w:r>
        <w:rPr>
          <w:rFonts w:ascii="Arial Narrow" w:hAnsi="Arial Narrow" w:eastAsia="仿宋_GB2312" w:cs="Arial Narrow"/>
          <w:color w:val="auto"/>
          <w:kern w:val="0"/>
          <w:sz w:val="32"/>
          <w:szCs w:val="32"/>
          <w:highlight w:val="none"/>
        </w:rPr>
        <w:t>.00分。</w:t>
      </w:r>
      <w:r>
        <w:rPr>
          <w:rFonts w:hint="eastAsia" w:ascii="Arial Narrow" w:hAnsi="Arial Narrow" w:eastAsia="仿宋_GB2312" w:cs="Arial Narrow"/>
          <w:color w:val="auto"/>
          <w:kern w:val="0"/>
          <w:sz w:val="32"/>
          <w:szCs w:val="32"/>
          <w:highlight w:val="none"/>
        </w:rPr>
        <w:t>本年度省政协通过开展民主监督落实有力推动相关工作进展情况。如省政协认真贯彻落实习近平总书记关于“加强人民政协民主监督，重点监督党和国家大方针政策和重要决策部署的贯彻落实”的指示精神，为推动落实省委省政府关于优化营商环境的政策措施和工作部署，将“优化营商环境”的专项民主监督作为一项重要工作常抓不懈；通过对2018年以来市州党政领导督办重点提案工作进行调研，监督提案工作“三个纳入”落实情况等。此外，通过调查问卷结果统计，在“您认为湖北省政协通过收集社情民意信息推动相关工作进展如何？”这一问题中，收回有效问卷224份，其中：193人表示有力推进，占比86.16%；28人表示较好推进，占比12.5%；3人表示一般推进，占比1.34%。从不同身份人员回答情况来看，各类人员对湖北省政协通过收集社情民意信息推动相关工作进展认可度均较高</w:t>
      </w:r>
      <w:r>
        <w:rPr>
          <w:rFonts w:ascii="Arial Narrow" w:hAnsi="Arial Narrow" w:eastAsia="仿宋_GB2312" w:cs="Arial Narrow"/>
          <w:color w:val="auto"/>
          <w:kern w:val="0"/>
          <w:sz w:val="32"/>
          <w:szCs w:val="32"/>
          <w:highlight w:val="none"/>
        </w:rPr>
        <w:t>。</w:t>
      </w:r>
    </w:p>
    <w:p>
      <w:pPr>
        <w:ind w:firstLine="640" w:firstLineChars="200"/>
        <w:outlineLvl w:val="5"/>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3）满意度指标完成情况分析</w:t>
      </w:r>
    </w:p>
    <w:p>
      <w:pPr>
        <w:numPr>
          <w:ilvl w:val="255"/>
          <w:numId w:val="0"/>
        </w:num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①</w:t>
      </w:r>
      <w:r>
        <w:rPr>
          <w:rFonts w:ascii="Arial Narrow" w:hAnsi="Arial Narrow" w:eastAsia="仿宋_GB2312" w:cs="Arial Narrow"/>
          <w:color w:val="auto"/>
          <w:kern w:val="0"/>
          <w:sz w:val="32"/>
          <w:szCs w:val="32"/>
          <w:highlight w:val="none"/>
        </w:rPr>
        <w:t>委员对省政协各专门委员会办公室、办公厅联络处及有关处室承办委员视察具体实施工作的满意程度（5.00分）：年初目标值非常满意，实际完成值</w:t>
      </w:r>
      <w:r>
        <w:rPr>
          <w:rFonts w:hint="eastAsia" w:ascii="Arial Narrow" w:hAnsi="Arial Narrow" w:eastAsia="仿宋_GB2312" w:cs="Arial Narrow"/>
          <w:color w:val="auto"/>
          <w:kern w:val="0"/>
          <w:sz w:val="32"/>
          <w:szCs w:val="32"/>
          <w:highlight w:val="none"/>
        </w:rPr>
        <w:t>非常满意</w:t>
      </w:r>
      <w:r>
        <w:rPr>
          <w:rFonts w:ascii="Arial Narrow" w:hAnsi="Arial Narrow" w:eastAsia="仿宋_GB2312" w:cs="Arial Narrow"/>
          <w:color w:val="auto"/>
          <w:kern w:val="0"/>
          <w:sz w:val="32"/>
          <w:szCs w:val="32"/>
          <w:highlight w:val="none"/>
        </w:rPr>
        <w:t>，该指标得5.00分。</w:t>
      </w:r>
      <w:r>
        <w:rPr>
          <w:rFonts w:hint="eastAsia" w:ascii="Arial Narrow" w:hAnsi="Arial Narrow" w:eastAsia="仿宋_GB2312" w:cs="Arial Narrow"/>
          <w:color w:val="auto"/>
          <w:kern w:val="0"/>
          <w:sz w:val="32"/>
          <w:szCs w:val="32"/>
          <w:highlight w:val="none"/>
        </w:rPr>
        <w:t>通过调查问卷结果统计，在“您对湖北省政协承办委员视察具体实施工作是否满意？”这一问题中，收回问卷224份，其中政协委员填写125份，满意110人，比较满意15人，满意度为96.00%=（110*3+15*2）/（125*3）。此外，通过调查问卷结果统计显示，政协委员、政协机关工作人员等各类人员对湖北省政协充分发挥重点提案协商督办示范带动作用认可度较高</w:t>
      </w:r>
      <w:r>
        <w:rPr>
          <w:rFonts w:ascii="Arial Narrow" w:hAnsi="Arial Narrow" w:eastAsia="仿宋_GB2312" w:cs="Arial Narrow"/>
          <w:color w:val="auto"/>
          <w:kern w:val="0"/>
          <w:sz w:val="32"/>
          <w:szCs w:val="32"/>
          <w:highlight w:val="none"/>
        </w:rPr>
        <w:t>。</w:t>
      </w:r>
    </w:p>
    <w:p>
      <w:pPr>
        <w:numPr>
          <w:ilvl w:val="0"/>
          <w:numId w:val="2"/>
        </w:numPr>
        <w:ind w:firstLine="640" w:firstLineChars="200"/>
        <w:outlineLvl w:val="3"/>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年度绩效目标三</w:t>
      </w:r>
    </w:p>
    <w:p>
      <w:pPr>
        <w:ind w:firstLine="640" w:firstLineChars="200"/>
        <w:outlineLvl w:val="5"/>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1）产出指标完成情况分析</w:t>
      </w:r>
    </w:p>
    <w:p>
      <w:pPr>
        <w:ind w:firstLine="640" w:firstLineChars="200"/>
        <w:rPr>
          <w:rFonts w:ascii="Arial Narrow" w:hAnsi="Arial Narrow" w:eastAsia="仿宋_GB2312" w:cs="Arial Narrow"/>
          <w:color w:val="auto"/>
          <w:kern w:val="0"/>
          <w:sz w:val="32"/>
          <w:szCs w:val="32"/>
          <w:highlight w:val="none"/>
        </w:rPr>
      </w:pPr>
      <w:r>
        <w:rPr>
          <w:rFonts w:ascii="Arial Narrow" w:hAnsi="Arial Narrow" w:eastAsia="仿宋_GB2312" w:cs="Arial Narrow"/>
          <w:color w:val="auto"/>
          <w:kern w:val="0"/>
          <w:sz w:val="32"/>
          <w:szCs w:val="32"/>
          <w:highlight w:val="none"/>
        </w:rPr>
        <w:fldChar w:fldCharType="begin"/>
      </w:r>
      <w:r>
        <w:rPr>
          <w:rFonts w:ascii="Arial Narrow" w:hAnsi="Arial Narrow" w:eastAsia="仿宋_GB2312" w:cs="Arial Narrow"/>
          <w:color w:val="auto"/>
          <w:kern w:val="0"/>
          <w:sz w:val="32"/>
          <w:szCs w:val="32"/>
          <w:highlight w:val="none"/>
        </w:rPr>
        <w:instrText xml:space="preserve"> = 1 \* GB3 </w:instrText>
      </w:r>
      <w:r>
        <w:rPr>
          <w:rFonts w:ascii="Arial Narrow" w:hAnsi="Arial Narrow" w:eastAsia="仿宋_GB2312" w:cs="Arial Narrow"/>
          <w:color w:val="auto"/>
          <w:kern w:val="0"/>
          <w:sz w:val="32"/>
          <w:szCs w:val="32"/>
          <w:highlight w:val="none"/>
        </w:rPr>
        <w:fldChar w:fldCharType="separate"/>
      </w:r>
      <w:r>
        <w:rPr>
          <w:rFonts w:hint="eastAsia" w:ascii="宋体" w:hAnsi="宋体" w:eastAsia="宋体" w:cs="宋体"/>
          <w:color w:val="auto"/>
          <w:kern w:val="0"/>
          <w:sz w:val="32"/>
          <w:szCs w:val="32"/>
          <w:highlight w:val="none"/>
        </w:rPr>
        <w:t>①</w:t>
      </w:r>
      <w:r>
        <w:rPr>
          <w:rFonts w:ascii="Arial Narrow" w:hAnsi="Arial Narrow" w:eastAsia="仿宋_GB2312" w:cs="Arial Narrow"/>
          <w:color w:val="auto"/>
          <w:kern w:val="0"/>
          <w:sz w:val="32"/>
          <w:szCs w:val="32"/>
          <w:highlight w:val="none"/>
        </w:rPr>
        <w:fldChar w:fldCharType="end"/>
      </w:r>
      <w:r>
        <w:rPr>
          <w:rFonts w:ascii="Arial Narrow" w:hAnsi="Arial Narrow" w:eastAsia="仿宋_GB2312" w:cs="Arial Narrow"/>
          <w:color w:val="auto"/>
          <w:kern w:val="0"/>
          <w:sz w:val="32"/>
          <w:szCs w:val="32"/>
          <w:highlight w:val="none"/>
        </w:rPr>
        <w:t>《学习与思考》期数（</w:t>
      </w:r>
      <w:r>
        <w:rPr>
          <w:rFonts w:hint="eastAsia" w:ascii="Arial Narrow" w:hAnsi="Arial Narrow" w:eastAsia="仿宋_GB2312" w:cs="Arial Narrow"/>
          <w:color w:val="auto"/>
          <w:kern w:val="0"/>
          <w:sz w:val="32"/>
          <w:szCs w:val="32"/>
          <w:highlight w:val="none"/>
          <w:lang w:val="en-US" w:eastAsia="zh-CN"/>
        </w:rPr>
        <w:t>2.00</w:t>
      </w:r>
      <w:r>
        <w:rPr>
          <w:rFonts w:ascii="Arial Narrow" w:hAnsi="Arial Narrow" w:eastAsia="仿宋_GB2312" w:cs="Arial Narrow"/>
          <w:color w:val="auto"/>
          <w:kern w:val="0"/>
          <w:sz w:val="32"/>
          <w:szCs w:val="32"/>
          <w:highlight w:val="none"/>
        </w:rPr>
        <w:t>分）：年初目标值4期，实际完成值4期，该指标得</w:t>
      </w:r>
      <w:r>
        <w:rPr>
          <w:rFonts w:hint="eastAsia" w:ascii="Arial Narrow" w:hAnsi="Arial Narrow" w:eastAsia="仿宋_GB2312" w:cs="Arial Narrow"/>
          <w:color w:val="auto"/>
          <w:kern w:val="0"/>
          <w:sz w:val="32"/>
          <w:szCs w:val="32"/>
          <w:highlight w:val="none"/>
          <w:lang w:val="en-US" w:eastAsia="zh-CN"/>
        </w:rPr>
        <w:t>2.00</w:t>
      </w:r>
      <w:r>
        <w:rPr>
          <w:rFonts w:ascii="Arial Narrow" w:hAnsi="Arial Narrow" w:eastAsia="仿宋_GB2312" w:cs="Arial Narrow"/>
          <w:color w:val="auto"/>
          <w:kern w:val="0"/>
          <w:sz w:val="32"/>
          <w:szCs w:val="32"/>
          <w:highlight w:val="none"/>
        </w:rPr>
        <w:t>分。本年度《学习与思考》出版105期、106期、107期、108期共4期，围绕全面提高依法防控依法治理能力、健全国家公共卫生应急管理体系、中国疫情防控彰显党的体制优势、扎实推进长江经济带高质量发展、让创新成为长江经济带发展的动力展开学习与思考。</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②</w:t>
      </w:r>
      <w:r>
        <w:rPr>
          <w:rFonts w:ascii="Arial Narrow" w:hAnsi="Arial Narrow" w:eastAsia="仿宋_GB2312" w:cs="Arial Narrow"/>
          <w:color w:val="auto"/>
          <w:kern w:val="0"/>
          <w:sz w:val="32"/>
          <w:szCs w:val="32"/>
          <w:highlight w:val="none"/>
        </w:rPr>
        <w:t>《湖北文史》期数（</w:t>
      </w:r>
      <w:r>
        <w:rPr>
          <w:rFonts w:hint="eastAsia" w:ascii="Arial Narrow" w:hAnsi="Arial Narrow" w:eastAsia="仿宋_GB2312" w:cs="Arial Narrow"/>
          <w:color w:val="auto"/>
          <w:kern w:val="0"/>
          <w:sz w:val="32"/>
          <w:szCs w:val="32"/>
          <w:highlight w:val="none"/>
          <w:lang w:val="en-US" w:eastAsia="zh-CN"/>
        </w:rPr>
        <w:t>2.00</w:t>
      </w:r>
      <w:r>
        <w:rPr>
          <w:rFonts w:ascii="Arial Narrow" w:hAnsi="Arial Narrow" w:eastAsia="仿宋_GB2312" w:cs="Arial Narrow"/>
          <w:color w:val="auto"/>
          <w:kern w:val="0"/>
          <w:sz w:val="32"/>
          <w:szCs w:val="32"/>
          <w:highlight w:val="none"/>
        </w:rPr>
        <w:t>分）：年初目标值2期，实际完成值2期，该指标得</w:t>
      </w:r>
      <w:r>
        <w:rPr>
          <w:rFonts w:hint="eastAsia" w:ascii="Arial Narrow" w:hAnsi="Arial Narrow" w:eastAsia="仿宋_GB2312" w:cs="Arial Narrow"/>
          <w:color w:val="auto"/>
          <w:kern w:val="0"/>
          <w:sz w:val="32"/>
          <w:szCs w:val="32"/>
          <w:highlight w:val="none"/>
          <w:lang w:val="en-US" w:eastAsia="zh-CN"/>
        </w:rPr>
        <w:t>1.00</w:t>
      </w:r>
      <w:r>
        <w:rPr>
          <w:rFonts w:ascii="Arial Narrow" w:hAnsi="Arial Narrow" w:eastAsia="仿宋_GB2312" w:cs="Arial Narrow"/>
          <w:color w:val="auto"/>
          <w:kern w:val="0"/>
          <w:sz w:val="32"/>
          <w:szCs w:val="32"/>
          <w:highlight w:val="none"/>
        </w:rPr>
        <w:t>分</w:t>
      </w:r>
      <w:r>
        <w:rPr>
          <w:rFonts w:hint="eastAsia" w:ascii="Arial Narrow" w:hAnsi="Arial Narrow" w:eastAsia="仿宋_GB2312" w:cs="Arial Narrow"/>
          <w:color w:val="auto"/>
          <w:kern w:val="0"/>
          <w:sz w:val="32"/>
          <w:szCs w:val="32"/>
          <w:highlight w:val="none"/>
          <w:lang w:eastAsia="zh-CN"/>
        </w:rPr>
        <w:t>，</w:t>
      </w:r>
      <w:r>
        <w:rPr>
          <w:rFonts w:hint="eastAsia" w:ascii="Arial Narrow" w:hAnsi="Arial Narrow" w:eastAsia="仿宋_GB2312" w:cs="Arial Narrow"/>
          <w:color w:val="auto"/>
          <w:kern w:val="0"/>
          <w:sz w:val="32"/>
          <w:szCs w:val="32"/>
          <w:highlight w:val="none"/>
          <w:lang w:val="en-US" w:eastAsia="zh-CN"/>
        </w:rPr>
        <w:t>扣1.00分</w:t>
      </w:r>
      <w:r>
        <w:rPr>
          <w:rFonts w:ascii="Arial Narrow" w:hAnsi="Arial Narrow" w:eastAsia="仿宋_GB2312" w:cs="Arial Narrow"/>
          <w:color w:val="auto"/>
          <w:kern w:val="0"/>
          <w:sz w:val="32"/>
          <w:szCs w:val="32"/>
          <w:highlight w:val="none"/>
        </w:rPr>
        <w:t>。《湖北文史》出版第108辑，记录了我省广大政协委员的辛勤付出和非凡业绩，立足于湖北脱贫攻坚故事，推出“决战决胜——坚决打赢脱贫攻坚战”专栏，此外，本辑还设有沧桑岁月、寻梦荆楚、人物春秋三个部分。</w:t>
      </w:r>
    </w:p>
    <w:p>
      <w:pPr>
        <w:ind w:firstLine="640" w:firstLineChars="200"/>
        <w:rPr>
          <w:rFonts w:ascii="Arial Narrow" w:hAnsi="Arial Narrow" w:eastAsia="仿宋_GB2312" w:cs="Arial Narrow"/>
          <w:color w:val="auto"/>
          <w:kern w:val="0"/>
          <w:sz w:val="32"/>
          <w:szCs w:val="32"/>
          <w:highlight w:val="none"/>
        </w:rPr>
      </w:pPr>
      <w:r>
        <w:rPr>
          <w:rFonts w:ascii="Arial Narrow" w:hAnsi="Arial Narrow" w:eastAsia="仿宋_GB2312" w:cs="Arial Narrow"/>
          <w:color w:val="auto"/>
          <w:kern w:val="0"/>
          <w:sz w:val="32"/>
          <w:szCs w:val="32"/>
          <w:highlight w:val="none"/>
        </w:rPr>
        <w:t>未完成原因分析：拟出版的《湖北文史》109辑“抗疫专辑”已完成组稿、编审工作，但因涉及抗击新冠疫情，省主管部门认为，该书稿所涉及人物、图片、数字等细节和重大节点、重大结论等相关内容表述比较敏感，难以全部一一核准，为慎重起见，建议此书稿作为内部资料留存，因此未出版。</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③</w:t>
      </w:r>
      <w:r>
        <w:rPr>
          <w:rFonts w:ascii="Arial Narrow" w:hAnsi="Arial Narrow" w:eastAsia="仿宋_GB2312" w:cs="Arial Narrow"/>
          <w:color w:val="auto"/>
          <w:kern w:val="0"/>
          <w:sz w:val="32"/>
          <w:szCs w:val="32"/>
          <w:highlight w:val="none"/>
        </w:rPr>
        <w:t>《湖北政协》刊数（</w:t>
      </w:r>
      <w:r>
        <w:rPr>
          <w:rFonts w:hint="eastAsia" w:ascii="Arial Narrow" w:hAnsi="Arial Narrow" w:eastAsia="仿宋_GB2312" w:cs="Arial Narrow"/>
          <w:color w:val="auto"/>
          <w:kern w:val="0"/>
          <w:sz w:val="32"/>
          <w:szCs w:val="32"/>
          <w:highlight w:val="none"/>
          <w:lang w:val="en-US" w:eastAsia="zh-CN"/>
        </w:rPr>
        <w:t>2.00</w:t>
      </w:r>
      <w:r>
        <w:rPr>
          <w:rFonts w:ascii="Arial Narrow" w:hAnsi="Arial Narrow" w:eastAsia="仿宋_GB2312" w:cs="Arial Narrow"/>
          <w:color w:val="auto"/>
          <w:kern w:val="0"/>
          <w:sz w:val="32"/>
          <w:szCs w:val="32"/>
          <w:highlight w:val="none"/>
        </w:rPr>
        <w:t>分）：年初目标值12刊，实际完成值12刊，该指标得</w:t>
      </w:r>
      <w:r>
        <w:rPr>
          <w:rFonts w:hint="eastAsia" w:ascii="Arial Narrow" w:hAnsi="Arial Narrow" w:eastAsia="仿宋_GB2312" w:cs="Arial Narrow"/>
          <w:color w:val="auto"/>
          <w:kern w:val="0"/>
          <w:sz w:val="32"/>
          <w:szCs w:val="32"/>
          <w:highlight w:val="none"/>
          <w:lang w:val="en-US" w:eastAsia="zh-CN"/>
        </w:rPr>
        <w:t>2.00</w:t>
      </w:r>
      <w:r>
        <w:rPr>
          <w:rFonts w:ascii="Arial Narrow" w:hAnsi="Arial Narrow" w:eastAsia="仿宋_GB2312" w:cs="Arial Narrow"/>
          <w:color w:val="auto"/>
          <w:kern w:val="0"/>
          <w:sz w:val="32"/>
          <w:szCs w:val="32"/>
          <w:highlight w:val="none"/>
        </w:rPr>
        <w:t>分。本年度《湖北政协》正常出刊12期（其中2、3期为合刊），立足政协工作，讲好政协故事，扩大政协工作的社会影响力，并将期刊电子版上传至省政协门户网站。</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④</w:t>
      </w:r>
      <w:r>
        <w:rPr>
          <w:rFonts w:ascii="Arial Narrow" w:hAnsi="Arial Narrow" w:eastAsia="仿宋_GB2312" w:cs="Arial Narrow"/>
          <w:color w:val="auto"/>
          <w:kern w:val="0"/>
          <w:sz w:val="32"/>
          <w:szCs w:val="32"/>
          <w:highlight w:val="none"/>
        </w:rPr>
        <w:t>委员提案立案件数（2.00分）：年初目标值665件，实际完成值730件，该指标得2.00分。</w:t>
      </w:r>
      <w:r>
        <w:rPr>
          <w:rFonts w:hint="eastAsia" w:ascii="Arial Narrow" w:hAnsi="Arial Narrow" w:eastAsia="仿宋_GB2312" w:cs="Arial Narrow"/>
          <w:color w:val="auto"/>
          <w:kern w:val="0"/>
          <w:sz w:val="32"/>
          <w:szCs w:val="32"/>
          <w:highlight w:val="none"/>
        </w:rPr>
        <w:t>本年度</w:t>
      </w:r>
      <w:r>
        <w:rPr>
          <w:rFonts w:ascii="Arial Narrow" w:hAnsi="Arial Narrow" w:eastAsia="仿宋_GB2312" w:cs="Arial Narrow"/>
          <w:color w:val="auto"/>
          <w:kern w:val="0"/>
          <w:sz w:val="32"/>
          <w:szCs w:val="32"/>
          <w:highlight w:val="none"/>
        </w:rPr>
        <w:t>省政协十二届三次会议共提案730件，内容涵盖经济建设、政治建设、文化建设、社会建设、生态文明建设等5个大类。</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⑤</w:t>
      </w:r>
      <w:r>
        <w:rPr>
          <w:rFonts w:ascii="Arial Narrow" w:hAnsi="Arial Narrow" w:eastAsia="仿宋_GB2312" w:cs="Arial Narrow"/>
          <w:color w:val="auto"/>
          <w:kern w:val="0"/>
          <w:sz w:val="32"/>
          <w:szCs w:val="32"/>
          <w:highlight w:val="none"/>
        </w:rPr>
        <w:t>委员参加学习培训的参与率（2.00分）：年初目标值96%，实际完成值100%，该指标得2.00分。本年度组织了省政协委员读书活动，举办了读书启动仪式，成立了领导小组和读书群组，组织了全省政协组织深入研读《习近平谈治国理政》第三卷活动，召开了读书交流会，开展了线上线下读书交流，参训人数近800人次，委员参加学习培训的参与率达到100%以上，此外，与武汉大学合作共建了“湖北省政协委员培训基地”。</w:t>
      </w:r>
    </w:p>
    <w:p>
      <w:pPr>
        <w:ind w:firstLine="640" w:firstLineChars="200"/>
        <w:outlineLvl w:val="5"/>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2）效益指标完成情况分析</w:t>
      </w:r>
    </w:p>
    <w:p>
      <w:pPr>
        <w:ind w:firstLine="640" w:firstLineChars="200"/>
        <w:rPr>
          <w:rFonts w:hint="eastAsia"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①</w:t>
      </w:r>
      <w:r>
        <w:rPr>
          <w:rFonts w:ascii="Arial Narrow" w:hAnsi="Arial Narrow" w:eastAsia="仿宋_GB2312" w:cs="Arial Narrow"/>
          <w:color w:val="auto"/>
          <w:kern w:val="0"/>
          <w:sz w:val="32"/>
          <w:szCs w:val="32"/>
          <w:highlight w:val="none"/>
        </w:rPr>
        <w:t>开展界别活动对社会的影响力（</w:t>
      </w:r>
      <w:r>
        <w:rPr>
          <w:rFonts w:hint="eastAsia" w:ascii="Arial Narrow" w:hAnsi="Arial Narrow" w:eastAsia="仿宋_GB2312" w:cs="Arial Narrow"/>
          <w:color w:val="auto"/>
          <w:kern w:val="0"/>
          <w:sz w:val="32"/>
          <w:szCs w:val="32"/>
          <w:highlight w:val="none"/>
          <w:lang w:val="en-US" w:eastAsia="zh-CN"/>
        </w:rPr>
        <w:t>4</w:t>
      </w:r>
      <w:r>
        <w:rPr>
          <w:rFonts w:ascii="Arial Narrow" w:hAnsi="Arial Narrow" w:eastAsia="仿宋_GB2312" w:cs="Arial Narrow"/>
          <w:color w:val="auto"/>
          <w:kern w:val="0"/>
          <w:sz w:val="32"/>
          <w:szCs w:val="32"/>
          <w:highlight w:val="none"/>
        </w:rPr>
        <w:t>.00分）：年初目标值作用明显，实际完成值作用明显，该指标得</w:t>
      </w:r>
      <w:r>
        <w:rPr>
          <w:rFonts w:hint="eastAsia" w:ascii="Arial Narrow" w:hAnsi="Arial Narrow" w:eastAsia="仿宋_GB2312" w:cs="Arial Narrow"/>
          <w:color w:val="auto"/>
          <w:kern w:val="0"/>
          <w:sz w:val="32"/>
          <w:szCs w:val="32"/>
          <w:highlight w:val="none"/>
          <w:lang w:val="en-US" w:eastAsia="zh-CN"/>
        </w:rPr>
        <w:t>4</w:t>
      </w:r>
      <w:r>
        <w:rPr>
          <w:rFonts w:ascii="Arial Narrow" w:hAnsi="Arial Narrow" w:eastAsia="仿宋_GB2312" w:cs="Arial Narrow"/>
          <w:color w:val="auto"/>
          <w:kern w:val="0"/>
          <w:sz w:val="32"/>
          <w:szCs w:val="32"/>
          <w:highlight w:val="none"/>
        </w:rPr>
        <w:t>.00分。</w:t>
      </w:r>
      <w:r>
        <w:rPr>
          <w:rFonts w:hint="eastAsia" w:ascii="Arial Narrow" w:hAnsi="Arial Narrow" w:eastAsia="仿宋_GB2312" w:cs="Arial Narrow"/>
          <w:color w:val="auto"/>
          <w:kern w:val="0"/>
          <w:sz w:val="32"/>
          <w:szCs w:val="32"/>
          <w:highlight w:val="none"/>
        </w:rPr>
        <w:t>本年度各委员会积极开展文化、教育、科技、法治等各类界别活动，对社会影响力作用明显。如提案委员会通过组织开展2020年度“好提案”评选，对进一步强化提案质量导向，激励提案者更好履职尽责有明显作用；文化文史和学习委员会、湖北省社会科学联合会共同组织11位社会学科界、文化艺术界、新闻出版界的委员和专家，围绕“疫情‘大考’下的中国制度优势——以湖北抗击新冠肺炎疫情为例”主题开展界别协商活动，从中国制度优势、突发公共卫生应对、省域治理能力等开展座谈交流、建言献策；政协科技界别委员结合本地区、本行业特点，就我省以企业创新为主体的技术创新体系建设开展专题调研、建言献策。此外，通过调查问卷结果统计，各类人员均认可湖北省政协开展了界别协商、专题协商、提案办理协商、对口协商等多种形式的协商议政，但湖北省政协各专委会与政府各部门之间、省政协的界别与政府相关部门之间的横向协商活动还需进一步加强</w:t>
      </w:r>
      <w:r>
        <w:rPr>
          <w:rFonts w:ascii="Arial Narrow" w:hAnsi="Arial Narrow" w:eastAsia="仿宋_GB2312" w:cs="Arial Narrow"/>
          <w:color w:val="auto"/>
          <w:kern w:val="0"/>
          <w:sz w:val="32"/>
          <w:szCs w:val="32"/>
          <w:highlight w:val="none"/>
        </w:rPr>
        <w:t>。</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②</w:t>
      </w:r>
      <w:r>
        <w:rPr>
          <w:rFonts w:ascii="Arial Narrow" w:hAnsi="Arial Narrow" w:eastAsia="仿宋_GB2312" w:cs="Arial Narrow"/>
          <w:color w:val="auto"/>
          <w:kern w:val="0"/>
          <w:sz w:val="32"/>
          <w:szCs w:val="32"/>
          <w:highlight w:val="none"/>
        </w:rPr>
        <w:t>《提案追踪》宣传效果（</w:t>
      </w:r>
      <w:r>
        <w:rPr>
          <w:rFonts w:hint="eastAsia" w:ascii="Arial Narrow" w:hAnsi="Arial Narrow" w:eastAsia="仿宋_GB2312" w:cs="Arial Narrow"/>
          <w:color w:val="auto"/>
          <w:kern w:val="0"/>
          <w:sz w:val="32"/>
          <w:szCs w:val="32"/>
          <w:highlight w:val="none"/>
          <w:lang w:val="en-US" w:eastAsia="zh-CN"/>
        </w:rPr>
        <w:t>3</w:t>
      </w:r>
      <w:r>
        <w:rPr>
          <w:rFonts w:ascii="Arial Narrow" w:hAnsi="Arial Narrow" w:eastAsia="仿宋_GB2312" w:cs="Arial Narrow"/>
          <w:color w:val="auto"/>
          <w:kern w:val="0"/>
          <w:sz w:val="32"/>
          <w:szCs w:val="32"/>
          <w:highlight w:val="none"/>
        </w:rPr>
        <w:t>.00分）：年初目标值强，覆盖全省辐射全国，实际完成值强，覆盖全省辐射全国，该指标得</w:t>
      </w:r>
      <w:r>
        <w:rPr>
          <w:rFonts w:hint="eastAsia" w:ascii="Arial Narrow" w:hAnsi="Arial Narrow" w:eastAsia="仿宋_GB2312" w:cs="Arial Narrow"/>
          <w:color w:val="auto"/>
          <w:kern w:val="0"/>
          <w:sz w:val="32"/>
          <w:szCs w:val="32"/>
          <w:highlight w:val="none"/>
          <w:lang w:val="en-US" w:eastAsia="zh-CN"/>
        </w:rPr>
        <w:t>3</w:t>
      </w:r>
      <w:r>
        <w:rPr>
          <w:rFonts w:ascii="Arial Narrow" w:hAnsi="Arial Narrow" w:eastAsia="仿宋_GB2312" w:cs="Arial Narrow"/>
          <w:color w:val="auto"/>
          <w:kern w:val="0"/>
          <w:sz w:val="32"/>
          <w:szCs w:val="32"/>
          <w:highlight w:val="none"/>
        </w:rPr>
        <w:t>.00分。本年度《提案追踪》栏目重点聚焦新时代政协提案工作的突破点与创新点，突出两会宣传报道、疫后重振、重点督办提案、省政协网络议政厅等重点主题，已实现全网覆盖，据央视索福瑞收视统计，2020年平均收视率0.4、收视份额3.7、同时段排名第3，</w:t>
      </w:r>
      <w:r>
        <w:rPr>
          <w:rFonts w:hint="eastAsia" w:ascii="Arial Narrow" w:hAnsi="Arial Narrow" w:eastAsia="仿宋_GB2312" w:cs="Arial Narrow"/>
          <w:color w:val="auto"/>
          <w:kern w:val="0"/>
          <w:sz w:val="32"/>
          <w:szCs w:val="32"/>
          <w:highlight w:val="none"/>
          <w:lang w:val="en-US" w:eastAsia="zh-CN"/>
        </w:rPr>
        <w:t>全年</w:t>
      </w:r>
      <w:r>
        <w:rPr>
          <w:rFonts w:ascii="Arial Narrow" w:hAnsi="Arial Narrow" w:eastAsia="仿宋_GB2312" w:cs="Arial Narrow"/>
          <w:color w:val="auto"/>
          <w:kern w:val="0"/>
          <w:sz w:val="32"/>
          <w:szCs w:val="32"/>
          <w:highlight w:val="none"/>
        </w:rPr>
        <w:t>累计收看观众人数17147000人。中宣部新闻阅评（第189期）对《提案追踪》栏目给予专刊推介，《人民政协70年见证》等系列作品获省政协第十七届“政协好新闻”特等奖和一等奖、三等奖</w:t>
      </w:r>
      <w:r>
        <w:rPr>
          <w:rFonts w:hint="eastAsia" w:ascii="Arial Narrow" w:hAnsi="Arial Narrow" w:eastAsia="仿宋_GB2312" w:cs="Arial Narrow"/>
          <w:color w:val="auto"/>
          <w:kern w:val="0"/>
          <w:sz w:val="32"/>
          <w:szCs w:val="32"/>
          <w:highlight w:val="none"/>
        </w:rPr>
        <w:t>。</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③</w:t>
      </w:r>
      <w:r>
        <w:rPr>
          <w:rFonts w:ascii="Arial Narrow" w:hAnsi="Arial Narrow" w:eastAsia="仿宋_GB2312" w:cs="Arial Narrow"/>
          <w:color w:val="auto"/>
          <w:kern w:val="0"/>
          <w:sz w:val="32"/>
          <w:szCs w:val="32"/>
          <w:highlight w:val="none"/>
        </w:rPr>
        <w:t>委员学习培训对提升履职水平的作用（</w:t>
      </w:r>
      <w:r>
        <w:rPr>
          <w:rFonts w:hint="eastAsia" w:ascii="Arial Narrow" w:hAnsi="Arial Narrow" w:eastAsia="仿宋_GB2312" w:cs="Arial Narrow"/>
          <w:color w:val="auto"/>
          <w:kern w:val="0"/>
          <w:sz w:val="32"/>
          <w:szCs w:val="32"/>
          <w:highlight w:val="none"/>
          <w:lang w:val="en-US" w:eastAsia="zh-CN"/>
        </w:rPr>
        <w:t>3</w:t>
      </w:r>
      <w:r>
        <w:rPr>
          <w:rFonts w:ascii="Arial Narrow" w:hAnsi="Arial Narrow" w:eastAsia="仿宋_GB2312" w:cs="Arial Narrow"/>
          <w:color w:val="auto"/>
          <w:kern w:val="0"/>
          <w:sz w:val="32"/>
          <w:szCs w:val="32"/>
          <w:highlight w:val="none"/>
        </w:rPr>
        <w:t>.00分）：年初目标值效果显著，实际完成值效果显著，该指标得</w:t>
      </w:r>
      <w:r>
        <w:rPr>
          <w:rFonts w:hint="eastAsia" w:ascii="Arial Narrow" w:hAnsi="Arial Narrow" w:eastAsia="仿宋_GB2312" w:cs="Arial Narrow"/>
          <w:color w:val="auto"/>
          <w:kern w:val="0"/>
          <w:sz w:val="32"/>
          <w:szCs w:val="32"/>
          <w:highlight w:val="none"/>
          <w:lang w:val="en-US" w:eastAsia="zh-CN"/>
        </w:rPr>
        <w:t>3</w:t>
      </w:r>
      <w:r>
        <w:rPr>
          <w:rFonts w:ascii="Arial Narrow" w:hAnsi="Arial Narrow" w:eastAsia="仿宋_GB2312" w:cs="Arial Narrow"/>
          <w:color w:val="auto"/>
          <w:kern w:val="0"/>
          <w:sz w:val="32"/>
          <w:szCs w:val="32"/>
          <w:highlight w:val="none"/>
        </w:rPr>
        <w:t>.00分。本年度文化文史和学习委员会举办了2次议政性常委专题会议专题讲座，邀请了重庆市原市长黄奇帆和中科院计算机研究所所委员陈益强作专题辅导报告，两名专家报告水平高、针对性强，委员很有收获。</w:t>
      </w:r>
    </w:p>
    <w:p>
      <w:pPr>
        <w:numPr>
          <w:ilvl w:val="0"/>
          <w:numId w:val="2"/>
        </w:numPr>
        <w:ind w:firstLine="640" w:firstLineChars="200"/>
        <w:outlineLvl w:val="3"/>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年度绩效目标四</w:t>
      </w:r>
    </w:p>
    <w:p>
      <w:pPr>
        <w:ind w:firstLine="640" w:firstLineChars="200"/>
        <w:outlineLvl w:val="5"/>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1）产出指标完成情况分析</w:t>
      </w:r>
    </w:p>
    <w:p>
      <w:pPr>
        <w:pStyle w:val="13"/>
        <w:ind w:firstLine="640"/>
        <w:rPr>
          <w:rFonts w:ascii="Arial Narrow" w:hAnsi="Arial Narrow" w:eastAsia="仿宋_GB2312" w:cs="Arial Narrow"/>
          <w:color w:val="auto"/>
          <w:kern w:val="0"/>
          <w:sz w:val="32"/>
          <w:szCs w:val="32"/>
          <w:highlight w:val="none"/>
        </w:rPr>
      </w:pPr>
      <w:r>
        <w:rPr>
          <w:rFonts w:ascii="Arial Narrow" w:hAnsi="Arial Narrow" w:eastAsia="仿宋_GB2312" w:cs="Arial Narrow"/>
          <w:color w:val="auto"/>
          <w:kern w:val="0"/>
          <w:sz w:val="32"/>
          <w:szCs w:val="32"/>
          <w:highlight w:val="none"/>
        </w:rPr>
        <w:fldChar w:fldCharType="begin"/>
      </w:r>
      <w:r>
        <w:rPr>
          <w:rFonts w:ascii="Arial Narrow" w:hAnsi="Arial Narrow" w:eastAsia="仿宋_GB2312" w:cs="Arial Narrow"/>
          <w:color w:val="auto"/>
          <w:kern w:val="0"/>
          <w:sz w:val="32"/>
          <w:szCs w:val="32"/>
          <w:highlight w:val="none"/>
        </w:rPr>
        <w:instrText xml:space="preserve"> = 1 \* GB3 </w:instrText>
      </w:r>
      <w:r>
        <w:rPr>
          <w:rFonts w:ascii="Arial Narrow" w:hAnsi="Arial Narrow" w:eastAsia="仿宋_GB2312" w:cs="Arial Narrow"/>
          <w:color w:val="auto"/>
          <w:kern w:val="0"/>
          <w:sz w:val="32"/>
          <w:szCs w:val="32"/>
          <w:highlight w:val="none"/>
        </w:rPr>
        <w:fldChar w:fldCharType="separate"/>
      </w:r>
      <w:r>
        <w:rPr>
          <w:rFonts w:hint="eastAsia" w:ascii="宋体" w:hAnsi="宋体" w:eastAsia="宋体" w:cs="宋体"/>
          <w:color w:val="auto"/>
          <w:kern w:val="0"/>
          <w:sz w:val="32"/>
          <w:szCs w:val="32"/>
          <w:highlight w:val="none"/>
        </w:rPr>
        <w:t>①</w:t>
      </w:r>
      <w:r>
        <w:rPr>
          <w:rFonts w:ascii="Arial Narrow" w:hAnsi="Arial Narrow" w:eastAsia="仿宋_GB2312" w:cs="Arial Narrow"/>
          <w:color w:val="auto"/>
          <w:kern w:val="0"/>
          <w:sz w:val="32"/>
          <w:szCs w:val="32"/>
          <w:highlight w:val="none"/>
        </w:rPr>
        <w:fldChar w:fldCharType="end"/>
      </w:r>
      <w:r>
        <w:rPr>
          <w:rFonts w:ascii="Arial Narrow" w:hAnsi="Arial Narrow" w:eastAsia="仿宋_GB2312" w:cs="Arial Narrow"/>
          <w:color w:val="auto"/>
          <w:kern w:val="0"/>
          <w:sz w:val="32"/>
          <w:szCs w:val="32"/>
          <w:highlight w:val="none"/>
        </w:rPr>
        <w:t>接待港澳台侨各界、海外华人华侨、外国访问团来鄂考察访问活动次数（</w:t>
      </w:r>
      <w:r>
        <w:rPr>
          <w:rFonts w:hint="eastAsia" w:ascii="Arial Narrow" w:hAnsi="Arial Narrow" w:eastAsia="仿宋_GB2312" w:cs="Arial Narrow"/>
          <w:color w:val="auto"/>
          <w:kern w:val="0"/>
          <w:sz w:val="32"/>
          <w:szCs w:val="32"/>
          <w:highlight w:val="none"/>
          <w:lang w:val="en-US" w:eastAsia="zh-CN"/>
        </w:rPr>
        <w:t>2.00</w:t>
      </w:r>
      <w:r>
        <w:rPr>
          <w:rFonts w:ascii="Arial Narrow" w:hAnsi="Arial Narrow" w:eastAsia="仿宋_GB2312" w:cs="Arial Narrow"/>
          <w:color w:val="auto"/>
          <w:kern w:val="0"/>
          <w:sz w:val="32"/>
          <w:szCs w:val="32"/>
          <w:highlight w:val="none"/>
        </w:rPr>
        <w:t>分）：年初目标值7批次，实际完成值6批次，该指标得</w:t>
      </w:r>
      <w:r>
        <w:rPr>
          <w:rFonts w:hint="eastAsia" w:ascii="Arial Narrow" w:hAnsi="Arial Narrow" w:eastAsia="仿宋_GB2312" w:cs="Arial Narrow"/>
          <w:color w:val="auto"/>
          <w:kern w:val="0"/>
          <w:sz w:val="32"/>
          <w:szCs w:val="32"/>
          <w:highlight w:val="none"/>
          <w:lang w:val="en-US" w:eastAsia="zh-CN"/>
        </w:rPr>
        <w:t>1.71</w:t>
      </w:r>
      <w:r>
        <w:rPr>
          <w:rFonts w:ascii="Arial Narrow" w:hAnsi="Arial Narrow" w:eastAsia="仿宋_GB2312" w:cs="Arial Narrow"/>
          <w:color w:val="auto"/>
          <w:kern w:val="0"/>
          <w:sz w:val="32"/>
          <w:szCs w:val="32"/>
          <w:highlight w:val="none"/>
        </w:rPr>
        <w:t>分，扣0.2</w:t>
      </w:r>
      <w:r>
        <w:rPr>
          <w:rFonts w:hint="eastAsia" w:ascii="Arial Narrow" w:hAnsi="Arial Narrow" w:eastAsia="仿宋_GB2312" w:cs="Arial Narrow"/>
          <w:color w:val="auto"/>
          <w:kern w:val="0"/>
          <w:sz w:val="32"/>
          <w:szCs w:val="32"/>
          <w:highlight w:val="none"/>
          <w:lang w:val="en-US" w:eastAsia="zh-CN"/>
        </w:rPr>
        <w:t>9</w:t>
      </w:r>
      <w:r>
        <w:rPr>
          <w:rFonts w:ascii="Arial Narrow" w:hAnsi="Arial Narrow" w:eastAsia="仿宋_GB2312" w:cs="Arial Narrow"/>
          <w:color w:val="auto"/>
          <w:kern w:val="0"/>
          <w:sz w:val="32"/>
          <w:szCs w:val="32"/>
          <w:highlight w:val="none"/>
        </w:rPr>
        <w:t>分。本年度港澳台侨和外事委员会接待港澳台侨各界、海外华人华侨、外国访问团来鄂考察访问6批次，包括省政协十二届三次会议期间省领导与港澳台委员餐叙、邀请海外侨领和港澳代表人士列席省政协十二届会议及相关工作、组织部分港澳委员赴十堰开展国情考察活动、做好港澳常委来汉出席十二届九次常委会议接待服务工作等。</w:t>
      </w:r>
    </w:p>
    <w:p>
      <w:pPr>
        <w:pStyle w:val="13"/>
        <w:ind w:firstLine="640"/>
        <w:rPr>
          <w:rFonts w:ascii="Arial Narrow" w:hAnsi="Arial Narrow" w:eastAsia="仿宋_GB2312" w:cs="Arial Narrow"/>
          <w:color w:val="auto"/>
          <w:kern w:val="0"/>
          <w:sz w:val="32"/>
          <w:szCs w:val="32"/>
          <w:highlight w:val="none"/>
        </w:rPr>
      </w:pPr>
      <w:r>
        <w:rPr>
          <w:rFonts w:ascii="Arial Narrow" w:hAnsi="Arial Narrow" w:eastAsia="仿宋_GB2312" w:cs="Arial Narrow"/>
          <w:color w:val="auto"/>
          <w:kern w:val="0"/>
          <w:sz w:val="32"/>
          <w:szCs w:val="32"/>
          <w:highlight w:val="none"/>
        </w:rPr>
        <w:t>未完成原因分析：受疫情影响，港澳台侨各界、海外华人华侨、外国访问团来鄂考察访问活动次数减少。</w:t>
      </w:r>
    </w:p>
    <w:p>
      <w:pPr>
        <w:ind w:firstLine="640" w:firstLineChars="200"/>
        <w:rPr>
          <w:rFonts w:ascii="Arial Narrow" w:hAnsi="Arial Narrow" w:eastAsia="仿宋_GB2312" w:cs="Arial Narrow"/>
          <w:color w:val="auto"/>
          <w:kern w:val="0"/>
          <w:sz w:val="32"/>
          <w:szCs w:val="32"/>
          <w:highlight w:val="none"/>
          <w:lang w:bidi="ar"/>
        </w:rPr>
      </w:pPr>
      <w:r>
        <w:rPr>
          <w:rFonts w:hint="eastAsia" w:ascii="宋体" w:hAnsi="宋体" w:eastAsia="宋体" w:cs="宋体"/>
          <w:color w:val="auto"/>
          <w:kern w:val="0"/>
          <w:sz w:val="32"/>
          <w:szCs w:val="32"/>
          <w:highlight w:val="none"/>
        </w:rPr>
        <w:t>②</w:t>
      </w:r>
      <w:r>
        <w:rPr>
          <w:rFonts w:ascii="Arial Narrow" w:hAnsi="Arial Narrow" w:eastAsia="仿宋_GB2312" w:cs="Arial Narrow"/>
          <w:color w:val="auto"/>
          <w:kern w:val="0"/>
          <w:sz w:val="32"/>
          <w:szCs w:val="32"/>
          <w:highlight w:val="none"/>
          <w:lang w:bidi="ar"/>
        </w:rPr>
        <w:t>兄弟省市领导考察、调研接待次数（</w:t>
      </w:r>
      <w:r>
        <w:rPr>
          <w:rFonts w:hint="eastAsia" w:ascii="Arial Narrow" w:hAnsi="Arial Narrow" w:eastAsia="仿宋_GB2312" w:cs="Arial Narrow"/>
          <w:color w:val="auto"/>
          <w:kern w:val="0"/>
          <w:sz w:val="32"/>
          <w:szCs w:val="32"/>
          <w:highlight w:val="none"/>
          <w:lang w:val="en-US" w:eastAsia="zh-CN" w:bidi="ar"/>
        </w:rPr>
        <w:t>2.00</w:t>
      </w:r>
      <w:r>
        <w:rPr>
          <w:rFonts w:ascii="Arial Narrow" w:hAnsi="Arial Narrow" w:eastAsia="仿宋_GB2312" w:cs="Arial Narrow"/>
          <w:color w:val="auto"/>
          <w:kern w:val="0"/>
          <w:sz w:val="32"/>
          <w:szCs w:val="32"/>
          <w:highlight w:val="none"/>
          <w:lang w:bidi="ar"/>
        </w:rPr>
        <w:t>分）：年初目标值22批，实际完成值</w:t>
      </w:r>
      <w:r>
        <w:rPr>
          <w:rFonts w:hint="eastAsia" w:ascii="Arial Narrow" w:hAnsi="Arial Narrow" w:eastAsia="仿宋_GB2312" w:cs="Arial Narrow"/>
          <w:color w:val="auto"/>
          <w:kern w:val="0"/>
          <w:sz w:val="32"/>
          <w:szCs w:val="32"/>
          <w:highlight w:val="none"/>
          <w:lang w:bidi="ar"/>
        </w:rPr>
        <w:t>12</w:t>
      </w:r>
      <w:r>
        <w:rPr>
          <w:rFonts w:ascii="Arial Narrow" w:hAnsi="Arial Narrow" w:eastAsia="仿宋_GB2312" w:cs="Arial Narrow"/>
          <w:color w:val="auto"/>
          <w:kern w:val="0"/>
          <w:sz w:val="32"/>
          <w:szCs w:val="32"/>
          <w:highlight w:val="none"/>
          <w:lang w:bidi="ar"/>
        </w:rPr>
        <w:t>批次，该指标得</w:t>
      </w:r>
      <w:r>
        <w:rPr>
          <w:rFonts w:hint="eastAsia" w:ascii="Arial Narrow" w:hAnsi="Arial Narrow" w:eastAsia="仿宋_GB2312" w:cs="Arial Narrow"/>
          <w:color w:val="auto"/>
          <w:kern w:val="0"/>
          <w:sz w:val="32"/>
          <w:szCs w:val="32"/>
          <w:highlight w:val="none"/>
          <w:lang w:val="en-US" w:eastAsia="zh-CN" w:bidi="ar"/>
        </w:rPr>
        <w:t>1.09</w:t>
      </w:r>
      <w:r>
        <w:rPr>
          <w:rFonts w:ascii="Arial Narrow" w:hAnsi="Arial Narrow" w:eastAsia="仿宋_GB2312" w:cs="Arial Narrow"/>
          <w:color w:val="auto"/>
          <w:kern w:val="0"/>
          <w:sz w:val="32"/>
          <w:szCs w:val="32"/>
          <w:highlight w:val="none"/>
          <w:lang w:bidi="ar"/>
        </w:rPr>
        <w:t>分，扣0.</w:t>
      </w:r>
      <w:r>
        <w:rPr>
          <w:rFonts w:hint="eastAsia" w:ascii="Arial Narrow" w:hAnsi="Arial Narrow" w:eastAsia="仿宋_GB2312" w:cs="Arial Narrow"/>
          <w:color w:val="auto"/>
          <w:kern w:val="0"/>
          <w:sz w:val="32"/>
          <w:szCs w:val="32"/>
          <w:highlight w:val="none"/>
          <w:lang w:val="en-US" w:eastAsia="zh-CN" w:bidi="ar"/>
        </w:rPr>
        <w:t>91</w:t>
      </w:r>
      <w:r>
        <w:rPr>
          <w:rFonts w:ascii="Arial Narrow" w:hAnsi="Arial Narrow" w:eastAsia="仿宋_GB2312" w:cs="Arial Narrow"/>
          <w:color w:val="auto"/>
          <w:kern w:val="0"/>
          <w:sz w:val="32"/>
          <w:szCs w:val="32"/>
          <w:highlight w:val="none"/>
          <w:lang w:bidi="ar"/>
        </w:rPr>
        <w:t>分。本年度共接待兄弟省市领导考察、调研12批次70人，包括上海市政协副主席率队来鄂考察、辽宁省政协港澳台侨（外事）委员会主任率队来鄂调研、江西省政协港澳台侨和外事委员会主任率队来鄂考察等。</w:t>
      </w:r>
    </w:p>
    <w:p>
      <w:pPr>
        <w:ind w:firstLine="640" w:firstLineChars="200"/>
        <w:rPr>
          <w:rFonts w:ascii="Arial Narrow" w:hAnsi="Arial Narrow" w:eastAsia="仿宋_GB2312" w:cs="Arial Narrow"/>
          <w:color w:val="auto"/>
          <w:kern w:val="0"/>
          <w:sz w:val="32"/>
          <w:szCs w:val="32"/>
          <w:highlight w:val="none"/>
          <w:lang w:bidi="ar"/>
        </w:rPr>
      </w:pPr>
      <w:r>
        <w:rPr>
          <w:rFonts w:ascii="Arial Narrow" w:hAnsi="Arial Narrow" w:eastAsia="仿宋_GB2312" w:cs="Arial Narrow"/>
          <w:color w:val="auto"/>
          <w:kern w:val="0"/>
          <w:sz w:val="32"/>
          <w:szCs w:val="32"/>
          <w:highlight w:val="none"/>
          <w:lang w:bidi="ar"/>
        </w:rPr>
        <w:t>未完成原因分析：受疫情影响，兄弟省市领导考察、调研活动次数减少。</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③</w:t>
      </w:r>
      <w:r>
        <w:rPr>
          <w:rFonts w:ascii="Arial Narrow" w:hAnsi="Arial Narrow" w:eastAsia="仿宋_GB2312" w:cs="Arial Narrow"/>
          <w:color w:val="auto"/>
          <w:kern w:val="0"/>
          <w:sz w:val="32"/>
          <w:szCs w:val="32"/>
          <w:highlight w:val="none"/>
        </w:rPr>
        <w:t>国家领导人视察调研接待次数（</w:t>
      </w:r>
      <w:r>
        <w:rPr>
          <w:rFonts w:hint="eastAsia" w:ascii="Arial Narrow" w:hAnsi="Arial Narrow" w:eastAsia="仿宋_GB2312" w:cs="Arial Narrow"/>
          <w:color w:val="auto"/>
          <w:kern w:val="0"/>
          <w:sz w:val="32"/>
          <w:szCs w:val="32"/>
          <w:highlight w:val="none"/>
          <w:lang w:val="en-US" w:eastAsia="zh-CN"/>
        </w:rPr>
        <w:t>2.00</w:t>
      </w:r>
      <w:r>
        <w:rPr>
          <w:rFonts w:ascii="Arial Narrow" w:hAnsi="Arial Narrow" w:eastAsia="仿宋_GB2312" w:cs="Arial Narrow"/>
          <w:color w:val="auto"/>
          <w:kern w:val="0"/>
          <w:sz w:val="32"/>
          <w:szCs w:val="32"/>
          <w:highlight w:val="none"/>
        </w:rPr>
        <w:t>分）：年初目标值15批，实际完成值</w:t>
      </w:r>
      <w:r>
        <w:rPr>
          <w:rFonts w:hint="eastAsia" w:ascii="Arial Narrow" w:hAnsi="Arial Narrow" w:eastAsia="仿宋_GB2312" w:cs="Arial Narrow"/>
          <w:color w:val="auto"/>
          <w:kern w:val="0"/>
          <w:sz w:val="32"/>
          <w:szCs w:val="32"/>
          <w:highlight w:val="none"/>
        </w:rPr>
        <w:t>9</w:t>
      </w:r>
      <w:r>
        <w:rPr>
          <w:rFonts w:ascii="Arial Narrow" w:hAnsi="Arial Narrow" w:eastAsia="仿宋_GB2312" w:cs="Arial Narrow"/>
          <w:color w:val="auto"/>
          <w:kern w:val="0"/>
          <w:sz w:val="32"/>
          <w:szCs w:val="32"/>
          <w:highlight w:val="none"/>
        </w:rPr>
        <w:t>批次，该指标得</w:t>
      </w:r>
      <w:r>
        <w:rPr>
          <w:rFonts w:hint="eastAsia" w:ascii="Arial Narrow" w:hAnsi="Arial Narrow" w:eastAsia="仿宋_GB2312" w:cs="Arial Narrow"/>
          <w:color w:val="auto"/>
          <w:kern w:val="0"/>
          <w:sz w:val="32"/>
          <w:szCs w:val="32"/>
          <w:highlight w:val="none"/>
          <w:lang w:val="en-US" w:eastAsia="zh-CN"/>
        </w:rPr>
        <w:t>1.20</w:t>
      </w:r>
      <w:r>
        <w:rPr>
          <w:rFonts w:ascii="Arial Narrow" w:hAnsi="Arial Narrow" w:eastAsia="仿宋_GB2312" w:cs="Arial Narrow"/>
          <w:color w:val="auto"/>
          <w:kern w:val="0"/>
          <w:sz w:val="32"/>
          <w:szCs w:val="32"/>
          <w:highlight w:val="none"/>
        </w:rPr>
        <w:t>分</w:t>
      </w:r>
      <w:r>
        <w:rPr>
          <w:rFonts w:hint="eastAsia" w:ascii="Arial Narrow" w:hAnsi="Arial Narrow" w:eastAsia="仿宋_GB2312" w:cs="Arial Narrow"/>
          <w:color w:val="auto"/>
          <w:kern w:val="0"/>
          <w:sz w:val="32"/>
          <w:szCs w:val="32"/>
          <w:highlight w:val="none"/>
        </w:rPr>
        <w:t>，扣</w:t>
      </w:r>
      <w:r>
        <w:rPr>
          <w:rFonts w:hint="eastAsia" w:ascii="Arial Narrow" w:hAnsi="Arial Narrow" w:eastAsia="仿宋_GB2312" w:cs="Arial Narrow"/>
          <w:color w:val="auto"/>
          <w:kern w:val="0"/>
          <w:sz w:val="32"/>
          <w:szCs w:val="32"/>
          <w:highlight w:val="none"/>
          <w:lang w:val="en-US" w:eastAsia="zh-CN"/>
        </w:rPr>
        <w:t>0.80</w:t>
      </w:r>
      <w:r>
        <w:rPr>
          <w:rFonts w:hint="eastAsia" w:ascii="Arial Narrow" w:hAnsi="Arial Narrow" w:eastAsia="仿宋_GB2312" w:cs="Arial Narrow"/>
          <w:color w:val="auto"/>
          <w:kern w:val="0"/>
          <w:sz w:val="32"/>
          <w:szCs w:val="32"/>
          <w:highlight w:val="none"/>
        </w:rPr>
        <w:t>分</w:t>
      </w:r>
      <w:r>
        <w:rPr>
          <w:rFonts w:ascii="Arial Narrow" w:hAnsi="Arial Narrow" w:eastAsia="仿宋_GB2312" w:cs="Arial Narrow"/>
          <w:color w:val="auto"/>
          <w:kern w:val="0"/>
          <w:sz w:val="32"/>
          <w:szCs w:val="32"/>
          <w:highlight w:val="none"/>
        </w:rPr>
        <w:t>。本年度共接待国家领导人视察调研9批次95人，包括全国政协原副主席率队来鄂调研、全国政协副主席率队来鄂调研、全国政协“坚定‘四个自</w:t>
      </w:r>
      <w:r>
        <w:rPr>
          <w:rFonts w:hint="eastAsia" w:ascii="Arial Narrow" w:hAnsi="Arial Narrow" w:eastAsia="仿宋_GB2312" w:cs="Arial Narrow"/>
          <w:color w:val="auto"/>
          <w:kern w:val="0"/>
          <w:sz w:val="32"/>
          <w:szCs w:val="32"/>
          <w:highlight w:val="none"/>
          <w:lang w:val="en-US" w:eastAsia="zh-CN"/>
        </w:rPr>
        <w:t>信</w:t>
      </w:r>
      <w:r>
        <w:rPr>
          <w:rFonts w:ascii="Arial Narrow" w:hAnsi="Arial Narrow" w:eastAsia="仿宋_GB2312" w:cs="Arial Narrow"/>
          <w:color w:val="auto"/>
          <w:kern w:val="0"/>
          <w:sz w:val="32"/>
          <w:szCs w:val="32"/>
          <w:highlight w:val="none"/>
        </w:rPr>
        <w:t>’’，打赢疫情防控人民战争”跨界别委员视察团来鄂视察等。</w:t>
      </w:r>
    </w:p>
    <w:p>
      <w:pPr>
        <w:ind w:firstLine="640" w:firstLineChars="200"/>
        <w:rPr>
          <w:rFonts w:ascii="Arial Narrow" w:hAnsi="Arial Narrow" w:eastAsia="仿宋_GB2312" w:cs="Arial Narrow"/>
          <w:color w:val="auto"/>
          <w:kern w:val="0"/>
          <w:sz w:val="32"/>
          <w:szCs w:val="32"/>
          <w:highlight w:val="none"/>
        </w:rPr>
      </w:pPr>
      <w:r>
        <w:rPr>
          <w:rFonts w:hint="eastAsia" w:ascii="Arial Narrow" w:hAnsi="Arial Narrow" w:eastAsia="仿宋_GB2312" w:cs="Arial Narrow"/>
          <w:color w:val="auto"/>
          <w:kern w:val="0"/>
          <w:sz w:val="32"/>
          <w:szCs w:val="32"/>
          <w:highlight w:val="none"/>
        </w:rPr>
        <w:t>未完成原因分析：受疫情影响，国家领导人视察调研活动次数减少。</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④</w:t>
      </w:r>
      <w:r>
        <w:rPr>
          <w:rFonts w:ascii="Arial Narrow" w:hAnsi="Arial Narrow" w:eastAsia="仿宋_GB2312" w:cs="Arial Narrow"/>
          <w:color w:val="auto"/>
          <w:kern w:val="0"/>
          <w:sz w:val="32"/>
          <w:szCs w:val="32"/>
          <w:highlight w:val="none"/>
        </w:rPr>
        <w:t>国家机关（副）部级领导考察、调研接待次数（1.50分）：年初目标值16批，实际完成值9批次，该指标得0.84分，扣0.66分。本年度共接待</w:t>
      </w:r>
      <w:r>
        <w:rPr>
          <w:rFonts w:hint="eastAsia" w:ascii="Arial Narrow" w:hAnsi="Arial Narrow" w:eastAsia="仿宋_GB2312" w:cs="Arial Narrow"/>
          <w:color w:val="auto"/>
          <w:kern w:val="0"/>
          <w:sz w:val="32"/>
          <w:szCs w:val="32"/>
          <w:highlight w:val="none"/>
        </w:rPr>
        <w:t>国家机关（副）部级领导考察、调研</w:t>
      </w:r>
      <w:r>
        <w:rPr>
          <w:rFonts w:ascii="Arial Narrow" w:hAnsi="Arial Narrow" w:eastAsia="仿宋_GB2312" w:cs="Arial Narrow"/>
          <w:color w:val="auto"/>
          <w:kern w:val="0"/>
          <w:sz w:val="32"/>
          <w:szCs w:val="32"/>
          <w:highlight w:val="none"/>
        </w:rPr>
        <w:t>9批次95人，包括全国政协原副主席率队来鄂调研、全国政协副主席率队来鄂调研、全国政协“坚定‘四个自</w:t>
      </w:r>
      <w:r>
        <w:rPr>
          <w:rFonts w:hint="eastAsia" w:ascii="Arial Narrow" w:hAnsi="Arial Narrow" w:eastAsia="仿宋_GB2312" w:cs="Arial Narrow"/>
          <w:color w:val="auto"/>
          <w:kern w:val="0"/>
          <w:sz w:val="32"/>
          <w:szCs w:val="32"/>
          <w:highlight w:val="none"/>
          <w:lang w:val="en-US" w:eastAsia="zh-CN"/>
        </w:rPr>
        <w:t>信</w:t>
      </w:r>
      <w:r>
        <w:rPr>
          <w:rFonts w:ascii="Arial Narrow" w:hAnsi="Arial Narrow" w:eastAsia="仿宋_GB2312" w:cs="Arial Narrow"/>
          <w:color w:val="auto"/>
          <w:kern w:val="0"/>
          <w:sz w:val="32"/>
          <w:szCs w:val="32"/>
          <w:highlight w:val="none"/>
        </w:rPr>
        <w:t>’，打赢疫情防控人民战争”跨界别委员视察团来鄂视察等。</w:t>
      </w:r>
    </w:p>
    <w:p>
      <w:pPr>
        <w:ind w:firstLine="640" w:firstLineChars="200"/>
        <w:rPr>
          <w:rFonts w:ascii="Arial Narrow" w:hAnsi="Arial Narrow" w:eastAsia="仿宋_GB2312" w:cs="Arial Narrow"/>
          <w:color w:val="auto"/>
          <w:kern w:val="0"/>
          <w:sz w:val="32"/>
          <w:szCs w:val="32"/>
          <w:highlight w:val="none"/>
        </w:rPr>
      </w:pPr>
      <w:r>
        <w:rPr>
          <w:rFonts w:ascii="Arial Narrow" w:hAnsi="Arial Narrow" w:eastAsia="仿宋_GB2312" w:cs="Arial Narrow"/>
          <w:color w:val="auto"/>
          <w:kern w:val="0"/>
          <w:sz w:val="32"/>
          <w:szCs w:val="32"/>
          <w:highlight w:val="none"/>
        </w:rPr>
        <w:t>未完成原因分析：受疫情影响，国家机关（副）部级领导考察、调研次数减少。</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⑤</w:t>
      </w:r>
      <w:r>
        <w:rPr>
          <w:rFonts w:ascii="Arial Narrow" w:hAnsi="Arial Narrow" w:eastAsia="仿宋_GB2312" w:cs="Arial Narrow"/>
          <w:color w:val="auto"/>
          <w:kern w:val="0"/>
          <w:sz w:val="32"/>
          <w:szCs w:val="32"/>
          <w:highlight w:val="none"/>
          <w:lang w:bidi="ar"/>
        </w:rPr>
        <w:t>政协门户网站日均访问量（</w:t>
      </w:r>
      <w:r>
        <w:rPr>
          <w:rFonts w:hint="eastAsia" w:ascii="Arial Narrow" w:hAnsi="Arial Narrow" w:eastAsia="仿宋_GB2312" w:cs="Arial Narrow"/>
          <w:color w:val="auto"/>
          <w:kern w:val="0"/>
          <w:sz w:val="32"/>
          <w:szCs w:val="32"/>
          <w:highlight w:val="none"/>
          <w:lang w:bidi="ar"/>
        </w:rPr>
        <w:t>2.00</w:t>
      </w:r>
      <w:r>
        <w:rPr>
          <w:rFonts w:ascii="Arial Narrow" w:hAnsi="Arial Narrow" w:eastAsia="仿宋_GB2312" w:cs="Arial Narrow"/>
          <w:color w:val="auto"/>
          <w:kern w:val="0"/>
          <w:sz w:val="32"/>
          <w:szCs w:val="32"/>
          <w:highlight w:val="none"/>
          <w:lang w:bidi="ar"/>
        </w:rPr>
        <w:t>分）：年初目标值750</w:t>
      </w:r>
      <w:r>
        <w:rPr>
          <w:rFonts w:hint="eastAsia" w:ascii="Arial Narrow" w:hAnsi="Arial Narrow" w:eastAsia="仿宋_GB2312" w:cs="Arial Narrow"/>
          <w:color w:val="auto"/>
          <w:kern w:val="0"/>
          <w:sz w:val="32"/>
          <w:szCs w:val="32"/>
          <w:highlight w:val="none"/>
          <w:lang w:bidi="ar"/>
        </w:rPr>
        <w:t>次</w:t>
      </w:r>
      <w:r>
        <w:rPr>
          <w:rFonts w:ascii="Arial Narrow" w:hAnsi="Arial Narrow" w:eastAsia="仿宋_GB2312" w:cs="Arial Narrow"/>
          <w:color w:val="auto"/>
          <w:kern w:val="0"/>
          <w:sz w:val="32"/>
          <w:szCs w:val="32"/>
          <w:highlight w:val="none"/>
          <w:lang w:bidi="ar"/>
        </w:rPr>
        <w:t>，实际完成值&gt;2000</w:t>
      </w:r>
      <w:r>
        <w:rPr>
          <w:rFonts w:hint="eastAsia" w:ascii="Arial Narrow" w:hAnsi="Arial Narrow" w:eastAsia="仿宋_GB2312" w:cs="Arial Narrow"/>
          <w:color w:val="auto"/>
          <w:kern w:val="0"/>
          <w:sz w:val="32"/>
          <w:szCs w:val="32"/>
          <w:highlight w:val="none"/>
          <w:lang w:bidi="ar"/>
        </w:rPr>
        <w:t>次</w:t>
      </w:r>
      <w:r>
        <w:rPr>
          <w:rFonts w:ascii="Arial Narrow" w:hAnsi="Arial Narrow" w:eastAsia="仿宋_GB2312" w:cs="Arial Narrow"/>
          <w:color w:val="auto"/>
          <w:kern w:val="0"/>
          <w:sz w:val="32"/>
          <w:szCs w:val="32"/>
          <w:highlight w:val="none"/>
          <w:lang w:bidi="ar"/>
        </w:rPr>
        <w:t>，该指标得</w:t>
      </w:r>
      <w:r>
        <w:rPr>
          <w:rFonts w:hint="eastAsia" w:ascii="Arial Narrow" w:hAnsi="Arial Narrow" w:eastAsia="仿宋_GB2312" w:cs="Arial Narrow"/>
          <w:color w:val="auto"/>
          <w:kern w:val="0"/>
          <w:sz w:val="32"/>
          <w:szCs w:val="32"/>
          <w:highlight w:val="none"/>
          <w:lang w:bidi="ar"/>
        </w:rPr>
        <w:t>2.00</w:t>
      </w:r>
      <w:r>
        <w:rPr>
          <w:rFonts w:ascii="Arial Narrow" w:hAnsi="Arial Narrow" w:eastAsia="仿宋_GB2312" w:cs="Arial Narrow"/>
          <w:color w:val="auto"/>
          <w:kern w:val="0"/>
          <w:sz w:val="32"/>
          <w:szCs w:val="32"/>
          <w:highlight w:val="none"/>
          <w:lang w:bidi="ar"/>
        </w:rPr>
        <w:t>分。本年度省政协门户网站最近30天访问量为74409次，日均访问量超2000次。</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⑥</w:t>
      </w:r>
      <w:r>
        <w:rPr>
          <w:rFonts w:ascii="Arial Narrow" w:hAnsi="Arial Narrow" w:eastAsia="仿宋_GB2312" w:cs="Arial Narrow"/>
          <w:color w:val="auto"/>
          <w:kern w:val="0"/>
          <w:sz w:val="32"/>
          <w:szCs w:val="32"/>
          <w:highlight w:val="none"/>
          <w:lang w:bidi="ar"/>
        </w:rPr>
        <w:t>机关信息化建设水平自评分（2.00分）：年初目标值90分，实际完成值90分，该指标得2.00分。本年度省政协试点项目建设应用系统涵盖了电子邮件系统、日常事务管理系统、智慧政协平台等，并已完成国家验收，省政协门户网站和日常事务管理平台2个系统的等保测评工作已经完成，机关信息化建设水平自评得分90分。</w:t>
      </w:r>
    </w:p>
    <w:p>
      <w:pPr>
        <w:ind w:firstLine="640" w:firstLineChars="200"/>
        <w:rPr>
          <w:rFonts w:ascii="Arial Narrow" w:hAnsi="Arial Narrow" w:eastAsia="仿宋_GB2312" w:cs="Arial Narrow"/>
          <w:color w:val="auto"/>
          <w:sz w:val="32"/>
          <w:szCs w:val="32"/>
          <w:highlight w:val="none"/>
        </w:rPr>
      </w:pPr>
      <w:r>
        <w:rPr>
          <w:rFonts w:hint="eastAsia" w:ascii="宋体" w:hAnsi="宋体" w:eastAsia="宋体" w:cs="宋体"/>
          <w:color w:val="auto"/>
          <w:kern w:val="0"/>
          <w:sz w:val="32"/>
          <w:szCs w:val="32"/>
          <w:highlight w:val="none"/>
          <w:lang w:bidi="ar"/>
        </w:rPr>
        <w:t>⑦</w:t>
      </w:r>
      <w:r>
        <w:rPr>
          <w:rFonts w:ascii="Arial Narrow" w:hAnsi="Arial Narrow" w:eastAsia="仿宋_GB2312" w:cs="Arial Narrow"/>
          <w:color w:val="auto"/>
          <w:kern w:val="0"/>
          <w:sz w:val="32"/>
          <w:szCs w:val="32"/>
          <w:highlight w:val="none"/>
          <w:lang w:bidi="ar"/>
        </w:rPr>
        <w:t>机关日常事务管理平台工作效果（2.00分）：年初目标值有力保障，实际完成值有力保障，该指标得2.00分。</w:t>
      </w:r>
      <w:r>
        <w:rPr>
          <w:rFonts w:hint="eastAsia" w:ascii="Arial Narrow" w:hAnsi="Arial Narrow" w:eastAsia="仿宋_GB2312" w:cs="Arial Narrow"/>
          <w:color w:val="auto"/>
          <w:kern w:val="0"/>
          <w:sz w:val="32"/>
          <w:szCs w:val="32"/>
          <w:highlight w:val="none"/>
          <w:lang w:bidi="ar"/>
        </w:rPr>
        <w:t>日常事务管理系统涉及用车申请、党务办理、请假、会议申请、信息发布、收发件处理、邮件处理等多个模块，有力保障了机关日常事务工作效果。此外，通过调查问卷结果统计，在“您对湖北省政协机关日常事务管理平台工作效果是否满意？”这一问题中，收回有效问卷224份，其中：179人表示满意，占比79.91%；28人表示比较满意，占比12.5%；1人表示不太满意，占比0.45%；16人表示没有使用过，占比7.14%；工作效果满意度为95.19%=（179*3+28*2+1*1）/（208*3）。从不同身份人员回答情况来看，仍然有5位政协机关工作人员、2位其他人员未使用过省政协机关日常事务管理平台，还需进一步加强平台推广应用工作</w:t>
      </w:r>
      <w:r>
        <w:rPr>
          <w:rFonts w:ascii="Arial Narrow" w:hAnsi="Arial Narrow" w:eastAsia="仿宋_GB2312" w:cs="Arial Narrow"/>
          <w:color w:val="auto"/>
          <w:kern w:val="0"/>
          <w:sz w:val="32"/>
          <w:szCs w:val="32"/>
          <w:highlight w:val="none"/>
          <w:lang w:bidi="ar"/>
        </w:rPr>
        <w:t>。</w:t>
      </w:r>
    </w:p>
    <w:p>
      <w:pPr>
        <w:ind w:firstLine="640" w:firstLineChars="200"/>
        <w:outlineLvl w:val="5"/>
        <w:rPr>
          <w:rFonts w:hint="eastAsia"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2）效益指标完成情况分析</w:t>
      </w:r>
    </w:p>
    <w:p>
      <w:pPr>
        <w:ind w:firstLine="640" w:firstLineChars="200"/>
        <w:rPr>
          <w:rFonts w:ascii="Arial Narrow" w:hAnsi="Arial Narrow" w:eastAsia="仿宋_GB2312" w:cs="Arial Narrow"/>
          <w:color w:val="auto"/>
          <w:kern w:val="0"/>
          <w:sz w:val="32"/>
          <w:szCs w:val="32"/>
          <w:highlight w:val="none"/>
        </w:rPr>
      </w:pPr>
      <w:r>
        <w:rPr>
          <w:rFonts w:ascii="Arial Narrow" w:hAnsi="Arial Narrow" w:eastAsia="仿宋_GB2312" w:cs="Arial Narrow"/>
          <w:color w:val="auto"/>
          <w:kern w:val="0"/>
          <w:sz w:val="32"/>
          <w:szCs w:val="32"/>
          <w:highlight w:val="none"/>
        </w:rPr>
        <w:fldChar w:fldCharType="begin"/>
      </w:r>
      <w:r>
        <w:rPr>
          <w:rFonts w:ascii="Arial Narrow" w:hAnsi="Arial Narrow" w:eastAsia="仿宋_GB2312" w:cs="Arial Narrow"/>
          <w:color w:val="auto"/>
          <w:kern w:val="0"/>
          <w:sz w:val="32"/>
          <w:szCs w:val="32"/>
          <w:highlight w:val="none"/>
        </w:rPr>
        <w:instrText xml:space="preserve"> = 1 \* GB3 </w:instrText>
      </w:r>
      <w:r>
        <w:rPr>
          <w:rFonts w:ascii="Arial Narrow" w:hAnsi="Arial Narrow" w:eastAsia="仿宋_GB2312" w:cs="Arial Narrow"/>
          <w:color w:val="auto"/>
          <w:kern w:val="0"/>
          <w:sz w:val="32"/>
          <w:szCs w:val="32"/>
          <w:highlight w:val="none"/>
        </w:rPr>
        <w:fldChar w:fldCharType="separate"/>
      </w:r>
      <w:r>
        <w:rPr>
          <w:rFonts w:hint="eastAsia" w:ascii="宋体" w:hAnsi="宋体" w:eastAsia="宋体" w:cs="宋体"/>
          <w:color w:val="auto"/>
          <w:kern w:val="0"/>
          <w:sz w:val="32"/>
          <w:szCs w:val="32"/>
          <w:highlight w:val="none"/>
        </w:rPr>
        <w:t>①</w:t>
      </w:r>
      <w:r>
        <w:rPr>
          <w:rFonts w:ascii="Arial Narrow" w:hAnsi="Arial Narrow" w:eastAsia="仿宋_GB2312" w:cs="Arial Narrow"/>
          <w:color w:val="auto"/>
          <w:kern w:val="0"/>
          <w:sz w:val="32"/>
          <w:szCs w:val="32"/>
          <w:highlight w:val="none"/>
        </w:rPr>
        <w:fldChar w:fldCharType="end"/>
      </w:r>
      <w:r>
        <w:rPr>
          <w:rFonts w:ascii="Arial Narrow" w:hAnsi="Arial Narrow" w:eastAsia="仿宋_GB2312" w:cs="Arial Narrow"/>
          <w:color w:val="auto"/>
          <w:kern w:val="0"/>
          <w:sz w:val="32"/>
          <w:szCs w:val="32"/>
          <w:highlight w:val="none"/>
        </w:rPr>
        <w:t>综合治理获奖数（</w:t>
      </w:r>
      <w:r>
        <w:rPr>
          <w:rFonts w:hint="eastAsia" w:ascii="Arial Narrow" w:hAnsi="Arial Narrow" w:eastAsia="仿宋_GB2312" w:cs="Arial Narrow"/>
          <w:color w:val="auto"/>
          <w:kern w:val="0"/>
          <w:sz w:val="32"/>
          <w:szCs w:val="32"/>
          <w:highlight w:val="none"/>
          <w:lang w:val="en-US" w:eastAsia="zh-CN"/>
        </w:rPr>
        <w:t>4</w:t>
      </w:r>
      <w:r>
        <w:rPr>
          <w:rFonts w:hint="eastAsia" w:ascii="Arial Narrow" w:hAnsi="Arial Narrow" w:eastAsia="仿宋_GB2312" w:cs="Arial Narrow"/>
          <w:color w:val="auto"/>
          <w:kern w:val="0"/>
          <w:sz w:val="32"/>
          <w:szCs w:val="32"/>
          <w:highlight w:val="none"/>
        </w:rPr>
        <w:t>.00</w:t>
      </w:r>
      <w:r>
        <w:rPr>
          <w:rFonts w:ascii="Arial Narrow" w:hAnsi="Arial Narrow" w:eastAsia="仿宋_GB2312" w:cs="Arial Narrow"/>
          <w:color w:val="auto"/>
          <w:kern w:val="0"/>
          <w:sz w:val="32"/>
          <w:szCs w:val="32"/>
          <w:highlight w:val="none"/>
        </w:rPr>
        <w:t>分）：年初目标值1次，实际完成值1次，该指标得</w:t>
      </w:r>
      <w:r>
        <w:rPr>
          <w:rFonts w:hint="eastAsia" w:ascii="Arial Narrow" w:hAnsi="Arial Narrow" w:eastAsia="仿宋_GB2312" w:cs="Arial Narrow"/>
          <w:color w:val="auto"/>
          <w:kern w:val="0"/>
          <w:sz w:val="32"/>
          <w:szCs w:val="32"/>
          <w:highlight w:val="none"/>
          <w:lang w:val="en-US" w:eastAsia="zh-CN"/>
        </w:rPr>
        <w:t>4</w:t>
      </w:r>
      <w:r>
        <w:rPr>
          <w:rFonts w:hint="eastAsia" w:ascii="Arial Narrow" w:hAnsi="Arial Narrow" w:eastAsia="仿宋_GB2312" w:cs="Arial Narrow"/>
          <w:color w:val="auto"/>
          <w:kern w:val="0"/>
          <w:sz w:val="32"/>
          <w:szCs w:val="32"/>
          <w:highlight w:val="none"/>
        </w:rPr>
        <w:t>.00</w:t>
      </w:r>
      <w:r>
        <w:rPr>
          <w:rFonts w:ascii="Arial Narrow" w:hAnsi="Arial Narrow" w:eastAsia="仿宋_GB2312" w:cs="Arial Narrow"/>
          <w:color w:val="auto"/>
          <w:kern w:val="0"/>
          <w:sz w:val="32"/>
          <w:szCs w:val="32"/>
          <w:highlight w:val="none"/>
        </w:rPr>
        <w:t>分。本年度省政协办公厅被评为2019年度全省平安建设（综治工作）优胜单位。</w:t>
      </w:r>
    </w:p>
    <w:p>
      <w:pPr>
        <w:ind w:firstLine="640" w:firstLineChars="200"/>
        <w:rPr>
          <w:rFonts w:ascii="Arial Narrow" w:hAnsi="Arial Narrow" w:eastAsia="仿宋_GB2312" w:cs="Arial Narrow"/>
          <w:color w:val="auto"/>
          <w:kern w:val="0"/>
          <w:sz w:val="32"/>
          <w:szCs w:val="32"/>
          <w:highlight w:val="none"/>
        </w:rPr>
      </w:pPr>
      <w:r>
        <w:rPr>
          <w:rFonts w:hint="eastAsia" w:ascii="宋体" w:hAnsi="宋体" w:eastAsia="宋体" w:cs="宋体"/>
          <w:color w:val="auto"/>
          <w:kern w:val="0"/>
          <w:sz w:val="32"/>
          <w:szCs w:val="32"/>
          <w:highlight w:val="none"/>
        </w:rPr>
        <w:t>②</w:t>
      </w:r>
      <w:r>
        <w:rPr>
          <w:rFonts w:ascii="Arial Narrow" w:hAnsi="Arial Narrow" w:eastAsia="仿宋_GB2312" w:cs="Arial Narrow"/>
          <w:color w:val="auto"/>
          <w:kern w:val="0"/>
          <w:sz w:val="32"/>
          <w:szCs w:val="32"/>
          <w:highlight w:val="none"/>
        </w:rPr>
        <w:t>通过机关日常保障和物业管理，提供良好的办公条件（</w:t>
      </w:r>
      <w:r>
        <w:rPr>
          <w:rFonts w:hint="eastAsia" w:ascii="Arial Narrow" w:hAnsi="Arial Narrow" w:eastAsia="仿宋_GB2312" w:cs="Arial Narrow"/>
          <w:color w:val="auto"/>
          <w:kern w:val="0"/>
          <w:sz w:val="32"/>
          <w:szCs w:val="32"/>
          <w:highlight w:val="none"/>
          <w:lang w:val="en-US" w:eastAsia="zh-CN"/>
        </w:rPr>
        <w:t>4</w:t>
      </w:r>
      <w:r>
        <w:rPr>
          <w:rFonts w:ascii="Arial Narrow" w:hAnsi="Arial Narrow" w:eastAsia="仿宋_GB2312" w:cs="Arial Narrow"/>
          <w:color w:val="auto"/>
          <w:kern w:val="0"/>
          <w:sz w:val="32"/>
          <w:szCs w:val="32"/>
          <w:highlight w:val="none"/>
        </w:rPr>
        <w:t>.00分）：年初目标值有力保障，实际完成值有力保障，该指标得</w:t>
      </w:r>
      <w:r>
        <w:rPr>
          <w:rFonts w:hint="eastAsia" w:ascii="Arial Narrow" w:hAnsi="Arial Narrow" w:eastAsia="仿宋_GB2312" w:cs="Arial Narrow"/>
          <w:color w:val="auto"/>
          <w:kern w:val="0"/>
          <w:sz w:val="32"/>
          <w:szCs w:val="32"/>
          <w:highlight w:val="none"/>
          <w:lang w:val="en-US" w:eastAsia="zh-CN"/>
        </w:rPr>
        <w:t>4</w:t>
      </w:r>
      <w:r>
        <w:rPr>
          <w:rFonts w:ascii="Arial Narrow" w:hAnsi="Arial Narrow" w:eastAsia="仿宋_GB2312" w:cs="Arial Narrow"/>
          <w:color w:val="auto"/>
          <w:kern w:val="0"/>
          <w:sz w:val="32"/>
          <w:szCs w:val="32"/>
          <w:highlight w:val="none"/>
        </w:rPr>
        <w:t>.00分</w:t>
      </w:r>
      <w:r>
        <w:rPr>
          <w:rFonts w:hint="eastAsia" w:ascii="Arial Narrow" w:hAnsi="Arial Narrow" w:eastAsia="仿宋_GB2312" w:cs="Arial Narrow"/>
          <w:color w:val="auto"/>
          <w:kern w:val="0"/>
          <w:sz w:val="32"/>
          <w:szCs w:val="32"/>
          <w:highlight w:val="none"/>
        </w:rPr>
        <w:t>。</w:t>
      </w:r>
      <w:r>
        <w:rPr>
          <w:rFonts w:hint="eastAsia" w:ascii="Arial Narrow" w:hAnsi="Arial Narrow" w:eastAsia="仿宋_GB2312" w:cs="Arial Narrow"/>
          <w:color w:val="auto"/>
          <w:kern w:val="0"/>
          <w:sz w:val="32"/>
          <w:szCs w:val="32"/>
          <w:highlight w:val="none"/>
          <w:lang w:val="en-US" w:eastAsia="zh-CN"/>
        </w:rPr>
        <w:t>本年度</w:t>
      </w:r>
      <w:r>
        <w:rPr>
          <w:rFonts w:hint="eastAsia" w:ascii="Arial Narrow" w:hAnsi="Arial Narrow" w:eastAsia="仿宋_GB2312" w:cs="Arial Narrow"/>
          <w:color w:val="auto"/>
          <w:kern w:val="0"/>
          <w:sz w:val="32"/>
          <w:szCs w:val="32"/>
          <w:highlight w:val="none"/>
        </w:rPr>
        <w:t>机关日常保障和物业管理由贵阁物业承担，着统一的会服，落实24小时人员值守，做好体温测量和信息登记工作，把会议服务保障作为整个机关的工作重点，对会服团队的建设进行了大的人员调整及运用了一些新思路，推陈出新，为机关提供良好的办公条件。通过调查问卷结果统计，在“您对湖北省政协机关办公楼硬件、软件等设备是否满意？”这一问题中，收回有效问卷224份，其中：194人表示满意，占比86.61%；30人表示比较满意，占比13.39%，满意度为95.54%=（194*3+30*2）/(224*3)；</w:t>
      </w:r>
      <w:r>
        <w:rPr>
          <w:rFonts w:hint="eastAsia" w:ascii="Arial Narrow" w:hAnsi="Arial Narrow" w:eastAsia="仿宋_GB2312" w:cs="Arial Narrow"/>
          <w:color w:val="auto"/>
          <w:kern w:val="0"/>
          <w:sz w:val="32"/>
          <w:szCs w:val="32"/>
          <w:highlight w:val="none"/>
          <w:lang w:val="en-US" w:eastAsia="zh-CN"/>
        </w:rPr>
        <w:t>此外，</w:t>
      </w:r>
      <w:r>
        <w:rPr>
          <w:rFonts w:hint="eastAsia" w:ascii="Arial Narrow" w:hAnsi="Arial Narrow" w:eastAsia="仿宋_GB2312" w:cs="Arial Narrow"/>
          <w:color w:val="auto"/>
          <w:kern w:val="0"/>
          <w:sz w:val="32"/>
          <w:szCs w:val="32"/>
          <w:highlight w:val="none"/>
        </w:rPr>
        <w:t>除2位政协委员认为提升度一般以外，各类人员均认可湖北省政协机关设备维修维护、网站运维、电子政务运维等日常维护工作有助于或比较有助于提升工作效率。</w:t>
      </w:r>
    </w:p>
    <w:p>
      <w:pPr>
        <w:ind w:firstLine="640" w:firstLineChars="200"/>
        <w:outlineLvl w:val="5"/>
        <w:rPr>
          <w:rFonts w:ascii="Arial Narrow" w:hAnsi="Arial Narrow" w:eastAsia="仿宋_GB2312" w:cs="Arial Narrow"/>
          <w:color w:val="auto"/>
          <w:sz w:val="32"/>
          <w:szCs w:val="32"/>
          <w:highlight w:val="none"/>
        </w:rPr>
      </w:pPr>
      <w:r>
        <w:rPr>
          <w:rFonts w:ascii="Arial Narrow" w:hAnsi="Arial Narrow" w:eastAsia="仿宋_GB2312" w:cs="Arial Narrow"/>
          <w:color w:val="auto"/>
          <w:sz w:val="32"/>
          <w:szCs w:val="32"/>
          <w:highlight w:val="none"/>
        </w:rPr>
        <w:t>3）满意度指标完成情况分析</w:t>
      </w:r>
    </w:p>
    <w:p>
      <w:pPr>
        <w:ind w:firstLine="640" w:firstLineChars="200"/>
        <w:rPr>
          <w:rFonts w:ascii="Arial Narrow" w:hAnsi="Arial Narrow" w:eastAsia="仿宋_GB2312" w:cs="Arial Narrow"/>
          <w:color w:val="auto"/>
          <w:kern w:val="0"/>
          <w:sz w:val="32"/>
          <w:szCs w:val="32"/>
          <w:highlight w:val="none"/>
        </w:rPr>
      </w:pPr>
      <w:r>
        <w:rPr>
          <w:rFonts w:ascii="Arial Narrow" w:hAnsi="Arial Narrow" w:eastAsia="仿宋_GB2312" w:cs="Arial Narrow"/>
          <w:color w:val="auto"/>
          <w:kern w:val="0"/>
          <w:sz w:val="32"/>
          <w:szCs w:val="32"/>
          <w:highlight w:val="none"/>
        </w:rPr>
        <w:fldChar w:fldCharType="begin"/>
      </w:r>
      <w:r>
        <w:rPr>
          <w:rFonts w:ascii="Arial Narrow" w:hAnsi="Arial Narrow" w:eastAsia="仿宋_GB2312" w:cs="Arial Narrow"/>
          <w:color w:val="auto"/>
          <w:kern w:val="0"/>
          <w:sz w:val="32"/>
          <w:szCs w:val="32"/>
          <w:highlight w:val="none"/>
        </w:rPr>
        <w:instrText xml:space="preserve"> = 1 \* GB3 </w:instrText>
      </w:r>
      <w:r>
        <w:rPr>
          <w:rFonts w:ascii="Arial Narrow" w:hAnsi="Arial Narrow" w:eastAsia="仿宋_GB2312" w:cs="Arial Narrow"/>
          <w:color w:val="auto"/>
          <w:kern w:val="0"/>
          <w:sz w:val="32"/>
          <w:szCs w:val="32"/>
          <w:highlight w:val="none"/>
        </w:rPr>
        <w:fldChar w:fldCharType="separate"/>
      </w:r>
      <w:r>
        <w:rPr>
          <w:rFonts w:hint="eastAsia" w:ascii="宋体" w:hAnsi="宋体" w:eastAsia="宋体" w:cs="宋体"/>
          <w:color w:val="auto"/>
          <w:kern w:val="0"/>
          <w:sz w:val="32"/>
          <w:szCs w:val="32"/>
          <w:highlight w:val="none"/>
        </w:rPr>
        <w:t>①</w:t>
      </w:r>
      <w:r>
        <w:rPr>
          <w:rFonts w:ascii="Arial Narrow" w:hAnsi="Arial Narrow" w:eastAsia="仿宋_GB2312" w:cs="Arial Narrow"/>
          <w:color w:val="auto"/>
          <w:kern w:val="0"/>
          <w:sz w:val="32"/>
          <w:szCs w:val="32"/>
          <w:highlight w:val="none"/>
        </w:rPr>
        <w:fldChar w:fldCharType="end"/>
      </w:r>
      <w:r>
        <w:rPr>
          <w:rFonts w:ascii="Arial Narrow" w:hAnsi="Arial Narrow" w:eastAsia="仿宋_GB2312" w:cs="Arial Narrow"/>
          <w:color w:val="auto"/>
          <w:kern w:val="0"/>
          <w:sz w:val="32"/>
          <w:szCs w:val="32"/>
          <w:highlight w:val="none"/>
        </w:rPr>
        <w:t>干部职工对机关日常维护质量以及效率的满意程度（</w:t>
      </w:r>
      <w:r>
        <w:rPr>
          <w:rFonts w:hint="eastAsia" w:ascii="Arial Narrow" w:hAnsi="Arial Narrow" w:eastAsia="仿宋_GB2312" w:cs="Arial Narrow"/>
          <w:color w:val="auto"/>
          <w:kern w:val="0"/>
          <w:sz w:val="32"/>
          <w:szCs w:val="32"/>
          <w:highlight w:val="none"/>
          <w:lang w:val="en-US" w:eastAsia="zh-CN"/>
        </w:rPr>
        <w:t>5</w:t>
      </w:r>
      <w:r>
        <w:rPr>
          <w:rFonts w:ascii="Arial Narrow" w:hAnsi="Arial Narrow" w:eastAsia="仿宋_GB2312" w:cs="Arial Narrow"/>
          <w:color w:val="auto"/>
          <w:kern w:val="0"/>
          <w:sz w:val="32"/>
          <w:szCs w:val="32"/>
          <w:highlight w:val="none"/>
        </w:rPr>
        <w:t>.00分）：年初目标值满意，实际完成值</w:t>
      </w:r>
      <w:r>
        <w:rPr>
          <w:rFonts w:hint="eastAsia" w:ascii="Arial Narrow" w:hAnsi="Arial Narrow" w:eastAsia="仿宋_GB2312" w:cs="Arial Narrow"/>
          <w:color w:val="auto"/>
          <w:kern w:val="0"/>
          <w:sz w:val="32"/>
          <w:szCs w:val="32"/>
          <w:highlight w:val="none"/>
        </w:rPr>
        <w:t>满意</w:t>
      </w:r>
      <w:r>
        <w:rPr>
          <w:rFonts w:ascii="Arial Narrow" w:hAnsi="Arial Narrow" w:eastAsia="仿宋_GB2312" w:cs="Arial Narrow"/>
          <w:color w:val="auto"/>
          <w:kern w:val="0"/>
          <w:sz w:val="32"/>
          <w:szCs w:val="32"/>
          <w:highlight w:val="none"/>
        </w:rPr>
        <w:t>，该指标得5.00分。</w:t>
      </w:r>
      <w:r>
        <w:rPr>
          <w:rFonts w:hint="eastAsia" w:ascii="Arial Narrow" w:hAnsi="Arial Narrow" w:eastAsia="仿宋_GB2312" w:cs="Arial Narrow"/>
          <w:color w:val="auto"/>
          <w:kern w:val="0"/>
          <w:sz w:val="32"/>
          <w:szCs w:val="32"/>
          <w:highlight w:val="none"/>
        </w:rPr>
        <w:t>通过调查问卷结果统计，在“您对湖北省政协机关办公楼整体工作环境是否满意？”这一问题中，收回有效问卷224份，其中：207人表示满意，占比92.41%，17人表示比较满意，占比7.59%，满意度为97.47%=（207*3+17*2）/（224*3）。从不同身份人员回答情况来看，政协委员满意度为97.60%=（116*3+9*2）/（125*3），政协机关工作人员满意度为98.77%=（78*3+3*2）/（81*3），其他人员满意度为90.74%=（13*3+5*2）/（18*3）</w:t>
      </w:r>
      <w:r>
        <w:rPr>
          <w:rFonts w:ascii="Arial Narrow" w:hAnsi="Arial Narrow" w:eastAsia="仿宋_GB2312" w:cs="Arial Narrow"/>
          <w:color w:val="auto"/>
          <w:kern w:val="0"/>
          <w:sz w:val="32"/>
          <w:szCs w:val="32"/>
          <w:highlight w:val="none"/>
        </w:rPr>
        <w:t>。</w:t>
      </w:r>
      <w:r>
        <w:rPr>
          <w:rFonts w:hint="eastAsia" w:ascii="Arial Narrow" w:hAnsi="Arial Narrow" w:eastAsia="仿宋_GB2312" w:cs="Arial Narrow"/>
          <w:color w:val="auto"/>
          <w:kern w:val="0"/>
          <w:sz w:val="32"/>
          <w:szCs w:val="32"/>
          <w:highlight w:val="none"/>
          <w:lang w:val="en-US" w:eastAsia="zh-CN"/>
        </w:rPr>
        <w:t>同时</w:t>
      </w:r>
      <w:r>
        <w:rPr>
          <w:rFonts w:hint="eastAsia" w:ascii="Arial Narrow" w:hAnsi="Arial Narrow" w:eastAsia="仿宋_GB2312" w:cs="Arial Narrow"/>
          <w:color w:val="auto"/>
          <w:kern w:val="0"/>
          <w:sz w:val="32"/>
          <w:szCs w:val="32"/>
          <w:highlight w:val="none"/>
        </w:rPr>
        <w:t>各类人员均认可湖北省政协机关大楼物业管理、水、电、供暖、电梯、消防、安保等日常维护保养工作及时或比较及时。</w:t>
      </w:r>
    </w:p>
    <w:p>
      <w:pPr>
        <w:ind w:firstLine="640" w:firstLineChars="200"/>
        <w:rPr>
          <w:rFonts w:ascii="Arial Narrow" w:hAnsi="Arial Narrow" w:eastAsia="楷体_GB2312" w:cs="楷体_GB2312"/>
          <w:color w:val="auto"/>
          <w:sz w:val="32"/>
          <w:szCs w:val="32"/>
          <w:highlight w:val="none"/>
        </w:rPr>
      </w:pPr>
      <w:r>
        <w:rPr>
          <w:rFonts w:ascii="Arial Narrow" w:hAnsi="Arial Narrow" w:eastAsia="楷体_GB2312" w:cs="楷体_GB2312"/>
          <w:color w:val="auto"/>
          <w:sz w:val="32"/>
          <w:szCs w:val="32"/>
          <w:highlight w:val="none"/>
        </w:rPr>
        <w:t>（四）上年度部门整体自评结果应用情况</w:t>
      </w:r>
    </w:p>
    <w:p>
      <w:pPr>
        <w:ind w:firstLine="640" w:firstLineChars="200"/>
        <w:rPr>
          <w:rFonts w:ascii="Arial Narrow" w:hAnsi="Arial Narrow" w:eastAsia="仿宋_GB2312" w:cs="Times New Roman"/>
          <w:color w:val="auto"/>
          <w:kern w:val="0"/>
          <w:sz w:val="32"/>
          <w:szCs w:val="32"/>
          <w:highlight w:val="none"/>
        </w:rPr>
      </w:pPr>
      <w:r>
        <w:rPr>
          <w:rFonts w:hint="eastAsia" w:ascii="Arial Narrow" w:hAnsi="Arial Narrow" w:eastAsia="仿宋_GB2312" w:cs="Times New Roman"/>
          <w:color w:val="auto"/>
          <w:kern w:val="0"/>
          <w:sz w:val="32"/>
          <w:szCs w:val="32"/>
          <w:highlight w:val="none"/>
        </w:rPr>
        <w:t>1、</w:t>
      </w:r>
      <w:r>
        <w:rPr>
          <w:rFonts w:hint="eastAsia" w:ascii="Arial Narrow" w:hAnsi="Arial Narrow" w:eastAsia="仿宋_GB2312" w:cs="仿宋_GB2312"/>
          <w:color w:val="auto"/>
          <w:sz w:val="32"/>
          <w:szCs w:val="32"/>
          <w:highlight w:val="none"/>
        </w:rPr>
        <w:t>进一步做好预算执行的监督与分析。在预算执行过程中建立绩效运行跟踪监控机制，</w:t>
      </w:r>
      <w:r>
        <w:rPr>
          <w:rFonts w:hint="eastAsia" w:ascii="Arial Narrow" w:hAnsi="Arial Narrow" w:eastAsia="仿宋_GB2312" w:cs="仿宋_GB2312"/>
          <w:color w:val="auto"/>
          <w:sz w:val="32"/>
          <w:szCs w:val="32"/>
          <w:highlight w:val="none"/>
          <w:lang w:val="en-US" w:eastAsia="zh-CN"/>
        </w:rPr>
        <w:t>通过</w:t>
      </w:r>
      <w:r>
        <w:rPr>
          <w:rFonts w:hint="eastAsia" w:ascii="Arial Narrow" w:hAnsi="Arial Narrow" w:eastAsia="仿宋_GB2312" w:cs="仿宋_GB2312"/>
          <w:color w:val="auto"/>
          <w:sz w:val="32"/>
          <w:szCs w:val="32"/>
          <w:highlight w:val="none"/>
        </w:rPr>
        <w:t>全方位、全过程的监督</w:t>
      </w:r>
      <w:r>
        <w:rPr>
          <w:rFonts w:hint="eastAsia" w:ascii="Arial Narrow" w:hAnsi="Arial Narrow" w:eastAsia="仿宋_GB2312" w:cs="仿宋_GB2312"/>
          <w:color w:val="auto"/>
          <w:sz w:val="32"/>
          <w:szCs w:val="32"/>
          <w:highlight w:val="none"/>
          <w:lang w:val="en-US" w:eastAsia="zh-CN"/>
        </w:rPr>
        <w:t>部门</w:t>
      </w:r>
      <w:r>
        <w:rPr>
          <w:rFonts w:hint="eastAsia" w:ascii="Arial Narrow" w:hAnsi="Arial Narrow" w:eastAsia="仿宋_GB2312" w:cs="仿宋_GB2312"/>
          <w:color w:val="auto"/>
          <w:sz w:val="32"/>
          <w:szCs w:val="32"/>
          <w:highlight w:val="none"/>
        </w:rPr>
        <w:t>预算资金的运行情况，强化预算编制的准确性，即部门预算收支的测算要以履行部门职能的需要为依据，</w:t>
      </w:r>
      <w:r>
        <w:rPr>
          <w:rFonts w:hint="eastAsia" w:ascii="仿宋_GB2312" w:eastAsia="仿宋_GB2312"/>
          <w:color w:val="auto"/>
          <w:sz w:val="32"/>
          <w:szCs w:val="32"/>
          <w:highlight w:val="none"/>
        </w:rPr>
        <w:t>确保预算资金的有效使用，</w:t>
      </w:r>
      <w:r>
        <w:rPr>
          <w:rFonts w:hint="eastAsia" w:ascii="Arial Narrow" w:hAnsi="Arial Narrow" w:eastAsia="仿宋_GB2312" w:cs="仿宋_GB2312"/>
          <w:color w:val="auto"/>
          <w:sz w:val="32"/>
          <w:szCs w:val="32"/>
          <w:highlight w:val="none"/>
        </w:rPr>
        <w:t>切实提高预算绩效管理的科学化、精细化水平。</w:t>
      </w:r>
    </w:p>
    <w:p>
      <w:pPr>
        <w:ind w:firstLine="640" w:firstLineChars="200"/>
        <w:rPr>
          <w:rFonts w:ascii="Arial Narrow" w:hAnsi="Arial Narrow" w:eastAsia="仿宋_GB2312" w:cs="Times New Roman"/>
          <w:color w:val="auto"/>
          <w:kern w:val="0"/>
          <w:sz w:val="32"/>
          <w:szCs w:val="32"/>
          <w:highlight w:val="none"/>
        </w:rPr>
      </w:pPr>
      <w:r>
        <w:rPr>
          <w:rFonts w:hint="eastAsia" w:ascii="Arial Narrow" w:hAnsi="Arial Narrow" w:eastAsia="仿宋_GB2312" w:cs="Times New Roman"/>
          <w:color w:val="auto"/>
          <w:kern w:val="0"/>
          <w:sz w:val="32"/>
          <w:szCs w:val="32"/>
          <w:highlight w:val="none"/>
        </w:rPr>
        <w:t>2、加强绩效评价结果与预算的紧密联系。落实绩效评价结果与预算安排相结合制度，将绩效评价结果作为以后年度编制预算和安排财政资金的重要依据，实行资金安排与绩效评价结果挂钩机制。</w:t>
      </w:r>
    </w:p>
    <w:p>
      <w:pPr>
        <w:ind w:firstLine="640" w:firstLineChars="200"/>
        <w:rPr>
          <w:rFonts w:ascii="Arial Narrow" w:hAnsi="Arial Narrow" w:eastAsia="仿宋_GB2312" w:cs="Times New Roman"/>
          <w:color w:val="auto"/>
          <w:kern w:val="0"/>
          <w:sz w:val="32"/>
          <w:szCs w:val="32"/>
          <w:highlight w:val="none"/>
        </w:rPr>
      </w:pPr>
      <w:r>
        <w:rPr>
          <w:rFonts w:hint="eastAsia" w:ascii="Arial Narrow" w:hAnsi="Arial Narrow" w:eastAsia="仿宋_GB2312" w:cs="Times New Roman"/>
          <w:color w:val="auto"/>
          <w:kern w:val="0"/>
          <w:sz w:val="32"/>
          <w:szCs w:val="32"/>
          <w:highlight w:val="none"/>
        </w:rPr>
        <w:t>3、通过“省政府门户网站”，将部门整体绩效自评结果向社会公开</w:t>
      </w:r>
      <w:r>
        <w:rPr>
          <w:rFonts w:ascii="Arial Narrow" w:hAnsi="Arial Narrow" w:eastAsia="仿宋_GB2312" w:cs="Times New Roman"/>
          <w:color w:val="auto"/>
          <w:kern w:val="0"/>
          <w:sz w:val="32"/>
          <w:szCs w:val="32"/>
          <w:highlight w:val="none"/>
        </w:rPr>
        <w:t>。</w:t>
      </w:r>
    </w:p>
    <w:p>
      <w:pPr>
        <w:ind w:firstLine="640" w:firstLineChars="200"/>
        <w:rPr>
          <w:rFonts w:ascii="Arial Narrow" w:hAnsi="Arial Narrow" w:eastAsia="楷体_GB2312" w:cs="楷体_GB2312"/>
          <w:color w:val="auto"/>
          <w:sz w:val="32"/>
          <w:szCs w:val="32"/>
          <w:highlight w:val="none"/>
        </w:rPr>
      </w:pPr>
      <w:r>
        <w:rPr>
          <w:rFonts w:ascii="Arial Narrow" w:hAnsi="Arial Narrow" w:eastAsia="楷体_GB2312" w:cs="楷体_GB2312"/>
          <w:color w:val="auto"/>
          <w:sz w:val="32"/>
          <w:szCs w:val="32"/>
          <w:highlight w:val="none"/>
        </w:rPr>
        <w:t>（五）其他佐证材料</w:t>
      </w:r>
    </w:p>
    <w:p>
      <w:pPr>
        <w:ind w:firstLine="640" w:firstLineChars="200"/>
        <w:rPr>
          <w:rFonts w:ascii="Arial Narrow" w:hAnsi="Arial Narrow" w:eastAsia="仿宋_GB2312" w:cs="Times New Roman"/>
          <w:color w:val="auto"/>
          <w:kern w:val="0"/>
          <w:sz w:val="32"/>
          <w:szCs w:val="32"/>
          <w:highlight w:val="none"/>
        </w:rPr>
      </w:pPr>
      <w:r>
        <w:rPr>
          <w:rFonts w:ascii="Arial Narrow" w:hAnsi="Arial Narrow" w:eastAsia="仿宋_GB2312" w:cs="Times New Roman"/>
          <w:color w:val="auto"/>
          <w:kern w:val="0"/>
          <w:sz w:val="32"/>
          <w:szCs w:val="32"/>
          <w:highlight w:val="none"/>
        </w:rPr>
        <w:t>1、</w:t>
      </w:r>
      <w:r>
        <w:rPr>
          <w:rFonts w:hint="eastAsia" w:ascii="Arial Narrow" w:hAnsi="Arial Narrow" w:eastAsia="仿宋_GB2312" w:cs="Times New Roman"/>
          <w:color w:val="auto"/>
          <w:kern w:val="0"/>
          <w:sz w:val="32"/>
          <w:szCs w:val="32"/>
          <w:highlight w:val="none"/>
        </w:rPr>
        <w:t>项目绩效目标完成情况统计表</w:t>
      </w:r>
      <w:r>
        <w:rPr>
          <w:rFonts w:ascii="Arial Narrow" w:hAnsi="Arial Narrow" w:eastAsia="仿宋_GB2312" w:cs="Times New Roman"/>
          <w:color w:val="auto"/>
          <w:kern w:val="0"/>
          <w:sz w:val="32"/>
          <w:szCs w:val="32"/>
          <w:highlight w:val="none"/>
        </w:rPr>
        <w:t>；</w:t>
      </w:r>
    </w:p>
    <w:p>
      <w:pPr>
        <w:ind w:firstLine="640" w:firstLineChars="200"/>
        <w:rPr>
          <w:rFonts w:ascii="Arial Narrow" w:hAnsi="Arial Narrow" w:eastAsia="仿宋_GB2312" w:cs="Times New Roman"/>
          <w:color w:val="auto"/>
          <w:kern w:val="0"/>
          <w:sz w:val="32"/>
          <w:szCs w:val="32"/>
          <w:highlight w:val="none"/>
        </w:rPr>
      </w:pPr>
      <w:r>
        <w:rPr>
          <w:rFonts w:ascii="Arial Narrow" w:hAnsi="Arial Narrow" w:eastAsia="仿宋_GB2312" w:cs="Times New Roman"/>
          <w:color w:val="auto"/>
          <w:kern w:val="0"/>
          <w:sz w:val="32"/>
          <w:szCs w:val="32"/>
          <w:highlight w:val="none"/>
        </w:rPr>
        <w:t>2、绩效自评通知</w:t>
      </w:r>
      <w:r>
        <w:rPr>
          <w:rFonts w:hint="eastAsia" w:ascii="Arial Narrow" w:hAnsi="Arial Narrow" w:eastAsia="仿宋_GB2312" w:cs="Times New Roman"/>
          <w:color w:val="auto"/>
          <w:kern w:val="0"/>
          <w:sz w:val="32"/>
          <w:szCs w:val="32"/>
          <w:highlight w:val="none"/>
        </w:rPr>
        <w:t>；</w:t>
      </w:r>
    </w:p>
    <w:p>
      <w:pPr>
        <w:ind w:firstLine="640" w:firstLineChars="200"/>
        <w:rPr>
          <w:rFonts w:ascii="Arial Narrow" w:hAnsi="Arial Narrow" w:eastAsia="仿宋_GB2312" w:cs="Times New Roman"/>
          <w:color w:val="auto"/>
          <w:kern w:val="0"/>
          <w:sz w:val="32"/>
          <w:szCs w:val="32"/>
          <w:highlight w:val="none"/>
        </w:rPr>
      </w:pPr>
      <w:r>
        <w:rPr>
          <w:rFonts w:hint="eastAsia" w:ascii="Arial Narrow" w:hAnsi="Arial Narrow" w:eastAsia="仿宋_GB2312" w:cs="Times New Roman"/>
          <w:color w:val="auto"/>
          <w:kern w:val="0"/>
          <w:sz w:val="32"/>
          <w:szCs w:val="32"/>
          <w:highlight w:val="none"/>
        </w:rPr>
        <w:t>3、调查问卷及调查结果分析。</w:t>
      </w:r>
    </w:p>
    <w:p>
      <w:pPr>
        <w:widowControl/>
        <w:jc w:val="left"/>
        <w:rPr>
          <w:rFonts w:ascii="Arial Narrow" w:hAnsi="Arial Narrow" w:eastAsia="仿宋_GB2312" w:cs="仿宋_GB2312"/>
          <w:color w:val="auto"/>
          <w:sz w:val="32"/>
          <w:szCs w:val="32"/>
          <w:highlight w:val="none"/>
        </w:rPr>
      </w:pPr>
      <w:r>
        <w:rPr>
          <w:rFonts w:ascii="Arial Narrow" w:hAnsi="Arial Narrow" w:eastAsia="仿宋_GB2312" w:cs="仿宋_GB2312"/>
          <w:color w:val="auto"/>
          <w:sz w:val="32"/>
          <w:szCs w:val="32"/>
          <w:highlight w:val="none"/>
        </w:rPr>
        <w:br w:type="page"/>
      </w:r>
    </w:p>
    <w:p>
      <w:pPr>
        <w:widowControl/>
        <w:outlineLvl w:val="0"/>
        <w:rPr>
          <w:rFonts w:ascii="Arial Narrow" w:hAnsi="Arial Narrow" w:eastAsia="黑体" w:cs="黑体"/>
          <w:color w:val="auto"/>
          <w:sz w:val="28"/>
          <w:szCs w:val="28"/>
          <w:highlight w:val="none"/>
        </w:rPr>
      </w:pPr>
      <w:r>
        <w:rPr>
          <w:rFonts w:ascii="Arial Narrow" w:hAnsi="Arial Narrow" w:eastAsia="黑体" w:cs="黑体"/>
          <w:color w:val="auto"/>
          <w:sz w:val="28"/>
          <w:szCs w:val="28"/>
          <w:highlight w:val="none"/>
        </w:rPr>
        <w:t>附件：</w:t>
      </w:r>
    </w:p>
    <w:p>
      <w:pPr>
        <w:jc w:val="center"/>
        <w:rPr>
          <w:rFonts w:ascii="Arial Narrow" w:hAnsi="Arial Narrow" w:eastAsia="方正小标宋简体" w:cs="方正小标宋简体"/>
          <w:color w:val="auto"/>
          <w:sz w:val="36"/>
          <w:szCs w:val="36"/>
          <w:highlight w:val="none"/>
        </w:rPr>
      </w:pPr>
      <w:r>
        <w:rPr>
          <w:rFonts w:ascii="Arial Narrow" w:hAnsi="Arial Narrow" w:eastAsia="方正小标宋简体" w:cs="方正小标宋简体"/>
          <w:color w:val="auto"/>
          <w:sz w:val="36"/>
          <w:szCs w:val="36"/>
          <w:highlight w:val="none"/>
        </w:rPr>
        <w:t>2020年度</w:t>
      </w:r>
      <w:r>
        <w:rPr>
          <w:rFonts w:hint="eastAsia" w:ascii="Arial Narrow" w:hAnsi="Arial Narrow" w:eastAsia="方正小标宋简体" w:cs="方正小标宋简体"/>
          <w:color w:val="auto"/>
          <w:sz w:val="36"/>
          <w:szCs w:val="36"/>
          <w:highlight w:val="none"/>
        </w:rPr>
        <w:t>湖北省政协办公厅</w:t>
      </w:r>
    </w:p>
    <w:p>
      <w:pPr>
        <w:jc w:val="center"/>
        <w:rPr>
          <w:rFonts w:ascii="Arial Narrow" w:hAnsi="Arial Narrow" w:eastAsia="方正小标宋简体" w:cs="Times New Roman"/>
          <w:color w:val="auto"/>
          <w:sz w:val="36"/>
          <w:szCs w:val="36"/>
          <w:highlight w:val="none"/>
        </w:rPr>
      </w:pPr>
      <w:r>
        <w:rPr>
          <w:rFonts w:ascii="Arial Narrow" w:hAnsi="Arial Narrow" w:eastAsia="方正小标宋简体" w:cs="方正小标宋简体"/>
          <w:color w:val="auto"/>
          <w:sz w:val="36"/>
          <w:szCs w:val="36"/>
          <w:highlight w:val="none"/>
        </w:rPr>
        <w:t>部门整体绩效自评表</w:t>
      </w:r>
    </w:p>
    <w:p>
      <w:pPr>
        <w:widowControl/>
        <w:spacing w:before="156" w:beforeLines="50"/>
        <w:jc w:val="left"/>
        <w:outlineLvl w:val="0"/>
        <w:rPr>
          <w:rFonts w:ascii="Arial Narrow" w:hAnsi="Arial Narrow" w:eastAsia="楷体_GB2312" w:cs="楷体_GB2312"/>
          <w:color w:val="auto"/>
          <w:kern w:val="0"/>
          <w:sz w:val="28"/>
          <w:szCs w:val="28"/>
          <w:highlight w:val="none"/>
        </w:rPr>
      </w:pPr>
      <w:r>
        <w:rPr>
          <w:rFonts w:ascii="Arial Narrow" w:hAnsi="Arial Narrow" w:eastAsia="楷体_GB2312" w:cs="楷体_GB2312"/>
          <w:color w:val="auto"/>
          <w:kern w:val="0"/>
          <w:sz w:val="28"/>
          <w:szCs w:val="28"/>
          <w:highlight w:val="none"/>
        </w:rPr>
        <w:t>单位名称：</w:t>
      </w:r>
      <w:r>
        <w:rPr>
          <w:rFonts w:hint="eastAsia" w:ascii="Arial Narrow" w:hAnsi="Arial Narrow" w:eastAsia="楷体_GB2312" w:cs="楷体_GB2312"/>
          <w:color w:val="auto"/>
          <w:kern w:val="0"/>
          <w:sz w:val="28"/>
          <w:szCs w:val="28"/>
          <w:highlight w:val="none"/>
        </w:rPr>
        <w:t>湖北省政协办公厅</w:t>
      </w:r>
    </w:p>
    <w:p>
      <w:pPr>
        <w:widowControl/>
        <w:jc w:val="left"/>
        <w:outlineLvl w:val="0"/>
        <w:rPr>
          <w:rFonts w:ascii="Arial Narrow" w:hAnsi="Arial Narrow" w:eastAsia="楷体_GB2312" w:cs="Times New Roman"/>
          <w:color w:val="auto"/>
          <w:kern w:val="0"/>
          <w:sz w:val="48"/>
          <w:szCs w:val="48"/>
          <w:highlight w:val="none"/>
        </w:rPr>
      </w:pPr>
      <w:r>
        <w:rPr>
          <w:rFonts w:ascii="Arial Narrow" w:hAnsi="Arial Narrow" w:eastAsia="楷体_GB2312" w:cs="楷体_GB2312"/>
          <w:color w:val="auto"/>
          <w:kern w:val="0"/>
          <w:sz w:val="28"/>
          <w:szCs w:val="28"/>
          <w:highlight w:val="none"/>
        </w:rPr>
        <w:t>填报日期：2021年4月2</w:t>
      </w:r>
      <w:r>
        <w:rPr>
          <w:rFonts w:hint="eastAsia" w:ascii="Arial Narrow" w:hAnsi="Arial Narrow" w:eastAsia="楷体_GB2312" w:cs="楷体_GB2312"/>
          <w:color w:val="auto"/>
          <w:kern w:val="0"/>
          <w:sz w:val="28"/>
          <w:szCs w:val="28"/>
          <w:highlight w:val="none"/>
        </w:rPr>
        <w:t>6</w:t>
      </w:r>
      <w:r>
        <w:rPr>
          <w:rFonts w:ascii="Arial Narrow" w:hAnsi="Arial Narrow" w:eastAsia="楷体_GB2312" w:cs="楷体_GB2312"/>
          <w:color w:val="auto"/>
          <w:kern w:val="0"/>
          <w:sz w:val="28"/>
          <w:szCs w:val="28"/>
          <w:highlight w:val="none"/>
        </w:rPr>
        <w:t>日</w:t>
      </w:r>
    </w:p>
    <w:tbl>
      <w:tblPr>
        <w:tblStyle w:val="9"/>
        <w:tblW w:w="89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653"/>
        <w:gridCol w:w="1324"/>
        <w:gridCol w:w="1253"/>
        <w:gridCol w:w="1441"/>
        <w:gridCol w:w="1282"/>
        <w:gridCol w:w="1341"/>
        <w:gridCol w:w="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429" w:type="dxa"/>
            <w:gridSpan w:val="2"/>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单位名称</w:t>
            </w:r>
          </w:p>
        </w:tc>
        <w:tc>
          <w:tcPr>
            <w:tcW w:w="7519" w:type="dxa"/>
            <w:gridSpan w:val="6"/>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湖北省政协办公厅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429" w:type="dxa"/>
            <w:gridSpan w:val="2"/>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基本支出</w:t>
            </w:r>
          </w:p>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总额</w:t>
            </w:r>
          </w:p>
        </w:tc>
        <w:tc>
          <w:tcPr>
            <w:tcW w:w="2577" w:type="dxa"/>
            <w:gridSpan w:val="2"/>
            <w:vAlign w:val="center"/>
          </w:tcPr>
          <w:p>
            <w:pPr>
              <w:widowControl/>
              <w:jc w:val="center"/>
              <w:rPr>
                <w:rFonts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7,329.41</w:t>
            </w:r>
            <w:r>
              <w:rPr>
                <w:rFonts w:ascii="Arial Narrow" w:hAnsi="Arial Narrow" w:eastAsia="仿宋_GB2312" w:cs="Arial Narrow"/>
                <w:color w:val="auto"/>
                <w:kern w:val="0"/>
                <w:highlight w:val="none"/>
              </w:rPr>
              <w:t>万元</w:t>
            </w:r>
          </w:p>
        </w:tc>
        <w:tc>
          <w:tcPr>
            <w:tcW w:w="2723" w:type="dxa"/>
            <w:gridSpan w:val="2"/>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项目支出总额</w:t>
            </w:r>
          </w:p>
        </w:tc>
        <w:tc>
          <w:tcPr>
            <w:tcW w:w="2219" w:type="dxa"/>
            <w:gridSpan w:val="2"/>
            <w:vAlign w:val="center"/>
          </w:tcPr>
          <w:p>
            <w:pPr>
              <w:widowControl/>
              <w:jc w:val="center"/>
              <w:rPr>
                <w:rFonts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3,839.47</w:t>
            </w:r>
            <w:r>
              <w:rPr>
                <w:rFonts w:ascii="Arial Narrow" w:hAnsi="Arial Narrow" w:eastAsia="仿宋_GB2312" w:cs="Arial Narrow"/>
                <w:color w:val="auto"/>
                <w:kern w:val="0"/>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429" w:type="dxa"/>
            <w:gridSpan w:val="2"/>
            <w:vMerge w:val="restart"/>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预算执行情况（万元）</w:t>
            </w:r>
          </w:p>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（20分）</w:t>
            </w:r>
          </w:p>
        </w:tc>
        <w:tc>
          <w:tcPr>
            <w:tcW w:w="1324" w:type="dxa"/>
            <w:vAlign w:val="center"/>
          </w:tcPr>
          <w:p>
            <w:pPr>
              <w:widowControl/>
              <w:jc w:val="center"/>
              <w:rPr>
                <w:rFonts w:ascii="Arial Narrow" w:hAnsi="Arial Narrow" w:eastAsia="仿宋_GB2312" w:cs="Arial Narrow"/>
                <w:color w:val="auto"/>
                <w:kern w:val="0"/>
                <w:highlight w:val="none"/>
              </w:rPr>
            </w:pPr>
          </w:p>
        </w:tc>
        <w:tc>
          <w:tcPr>
            <w:tcW w:w="1253" w:type="dxa"/>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预算数（A）</w:t>
            </w:r>
          </w:p>
        </w:tc>
        <w:tc>
          <w:tcPr>
            <w:tcW w:w="1441" w:type="dxa"/>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执行数（B）</w:t>
            </w:r>
          </w:p>
        </w:tc>
        <w:tc>
          <w:tcPr>
            <w:tcW w:w="1282" w:type="dxa"/>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执行率（B/A）</w:t>
            </w:r>
          </w:p>
        </w:tc>
        <w:tc>
          <w:tcPr>
            <w:tcW w:w="2219" w:type="dxa"/>
            <w:gridSpan w:val="2"/>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得分</w:t>
            </w:r>
          </w:p>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（20分*执行率）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429" w:type="dxa"/>
            <w:gridSpan w:val="2"/>
            <w:vMerge w:val="continue"/>
            <w:vAlign w:val="center"/>
          </w:tcPr>
          <w:p>
            <w:pPr>
              <w:widowControl/>
              <w:jc w:val="center"/>
              <w:rPr>
                <w:rFonts w:ascii="Arial Narrow" w:hAnsi="Arial Narrow" w:eastAsia="仿宋_GB2312" w:cs="Arial Narrow"/>
                <w:color w:val="auto"/>
                <w:kern w:val="0"/>
                <w:highlight w:val="none"/>
              </w:rPr>
            </w:pPr>
          </w:p>
        </w:tc>
        <w:tc>
          <w:tcPr>
            <w:tcW w:w="1324" w:type="dxa"/>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部门整体支出总额</w:t>
            </w:r>
          </w:p>
        </w:tc>
        <w:tc>
          <w:tcPr>
            <w:tcW w:w="1253" w:type="dxa"/>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12,463.97</w:t>
            </w:r>
          </w:p>
        </w:tc>
        <w:tc>
          <w:tcPr>
            <w:tcW w:w="1441" w:type="dxa"/>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11,168.88</w:t>
            </w:r>
          </w:p>
        </w:tc>
        <w:tc>
          <w:tcPr>
            <w:tcW w:w="1282" w:type="dxa"/>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89.61%</w:t>
            </w:r>
          </w:p>
        </w:tc>
        <w:tc>
          <w:tcPr>
            <w:tcW w:w="2219" w:type="dxa"/>
            <w:gridSpan w:val="2"/>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17.92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62" w:hRule="atLeast"/>
          <w:jc w:val="center"/>
        </w:trPr>
        <w:tc>
          <w:tcPr>
            <w:tcW w:w="1429" w:type="dxa"/>
            <w:gridSpan w:val="2"/>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年度绩效目标1：（</w:t>
            </w:r>
            <w:r>
              <w:rPr>
                <w:rFonts w:hint="eastAsia" w:ascii="Arial Narrow" w:hAnsi="Arial Narrow" w:eastAsia="仿宋_GB2312" w:cs="Arial Narrow"/>
                <w:color w:val="auto"/>
                <w:kern w:val="0"/>
                <w:highlight w:val="none"/>
                <w:lang w:val="en-US" w:eastAsia="zh-CN"/>
              </w:rPr>
              <w:t>18.5</w:t>
            </w:r>
            <w:r>
              <w:rPr>
                <w:rFonts w:ascii="Arial Narrow" w:hAnsi="Arial Narrow" w:eastAsia="仿宋_GB2312" w:cs="Arial Narrow"/>
                <w:color w:val="auto"/>
                <w:kern w:val="0"/>
                <w:highlight w:val="none"/>
              </w:rPr>
              <w:t>分）</w:t>
            </w:r>
          </w:p>
        </w:tc>
        <w:tc>
          <w:tcPr>
            <w:tcW w:w="7519" w:type="dxa"/>
            <w:gridSpan w:val="6"/>
            <w:vAlign w:val="center"/>
          </w:tcPr>
          <w:p>
            <w:pPr>
              <w:widowControl/>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1、</w:t>
            </w:r>
            <w:r>
              <w:rPr>
                <w:rFonts w:ascii="Arial Narrow" w:hAnsi="Arial Narrow" w:eastAsia="仿宋_GB2312" w:cs="Arial Narrow"/>
                <w:color w:val="auto"/>
                <w:kern w:val="0"/>
                <w:highlight w:val="none"/>
              </w:rPr>
              <w:t>召开省政协十二届三次会议</w:t>
            </w:r>
            <w:r>
              <w:rPr>
                <w:rFonts w:hint="eastAsia" w:ascii="Arial Narrow" w:hAnsi="Arial Narrow" w:eastAsia="仿宋_GB2312" w:cs="Arial Narrow"/>
                <w:color w:val="auto"/>
                <w:kern w:val="0"/>
                <w:highlight w:val="none"/>
              </w:rPr>
              <w:t>，</w:t>
            </w:r>
            <w:r>
              <w:rPr>
                <w:rFonts w:ascii="Arial Narrow" w:hAnsi="Arial Narrow" w:eastAsia="仿宋_GB2312" w:cs="Arial Narrow"/>
                <w:color w:val="auto"/>
                <w:kern w:val="0"/>
                <w:highlight w:val="none"/>
              </w:rPr>
              <w:t>听取和审议常务委员会的工作报告；讨论并通过有关的决议；参与对国家和地方事务的重要问题的讨论，提出建议和批评。</w:t>
            </w:r>
          </w:p>
          <w:p>
            <w:pPr>
              <w:widowControl/>
              <w:jc w:val="left"/>
              <w:rPr>
                <w:rFonts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2、</w:t>
            </w:r>
            <w:r>
              <w:rPr>
                <w:rFonts w:ascii="Arial Narrow" w:hAnsi="Arial Narrow" w:eastAsia="仿宋_GB2312" w:cs="Arial Narrow"/>
                <w:color w:val="auto"/>
                <w:kern w:val="0"/>
                <w:highlight w:val="none"/>
              </w:rPr>
              <w:t>团结全省人民政协的各民主党派人士、各人民团体和各族各界人士，使之在政治上、思想上、行动上，与中共中央、湖北省委保持高度一致。在爱国主义和社会主义旗帜下，坚持和发展中国特色社会主义，为实现中华民族伟大复兴的中国梦的湖北篇而团结奋斗。充分发挥政协作为各党派团体和各族各界人士发扬民主、参与国是、团结合作的重要平台作用，努力形成社会共识、增进社会团结、维护社会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restart"/>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年度绩效指标</w:t>
            </w:r>
          </w:p>
        </w:tc>
        <w:tc>
          <w:tcPr>
            <w:tcW w:w="653" w:type="dxa"/>
            <w:vAlign w:val="center"/>
          </w:tcPr>
          <w:p>
            <w:pPr>
              <w:keepNext w:val="0"/>
              <w:keepLines w:val="0"/>
              <w:pageBreakBefore w:val="0"/>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一级指标</w:t>
            </w:r>
          </w:p>
        </w:tc>
        <w:tc>
          <w:tcPr>
            <w:tcW w:w="132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二级指标</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三级指标</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年初目标值（A）</w:t>
            </w:r>
          </w:p>
        </w:tc>
        <w:tc>
          <w:tcPr>
            <w:tcW w:w="1341"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实际完成值（B）</w:t>
            </w:r>
          </w:p>
        </w:tc>
        <w:tc>
          <w:tcPr>
            <w:tcW w:w="878"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restart"/>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Style w:val="17"/>
                <w:rFonts w:ascii="Arial Narrow" w:hAnsi="Arial Narrow" w:cs="Arial Narrow"/>
                <w:color w:val="auto"/>
                <w:sz w:val="21"/>
                <w:szCs w:val="21"/>
                <w:highlight w:val="none"/>
                <w:lang w:bidi="ar"/>
              </w:rPr>
              <w:t>产出指标</w:t>
            </w:r>
          </w:p>
        </w:tc>
        <w:tc>
          <w:tcPr>
            <w:tcW w:w="132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数量指标</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十二届三次会议大会到会率（</w:t>
            </w:r>
            <w:r>
              <w:rPr>
                <w:rFonts w:hint="eastAsia" w:ascii="Arial Narrow" w:hAnsi="Arial Narrow" w:eastAsia="仿宋_GB2312" w:cs="Arial Narrow"/>
                <w:color w:val="auto"/>
                <w:kern w:val="0"/>
                <w:highlight w:val="none"/>
                <w:lang w:val="en-US" w:eastAsia="zh-CN" w:bidi="ar"/>
              </w:rPr>
              <w:t>2</w:t>
            </w:r>
            <w:r>
              <w:rPr>
                <w:rFonts w:ascii="Arial Narrow" w:hAnsi="Arial Narrow" w:eastAsia="仿宋_GB2312" w:cs="Arial Narrow"/>
                <w:color w:val="auto"/>
                <w:kern w:val="0"/>
                <w:highlight w:val="none"/>
                <w:lang w:bidi="ar"/>
              </w:rPr>
              <w:t>分）</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90%</w:t>
            </w:r>
          </w:p>
        </w:tc>
        <w:tc>
          <w:tcPr>
            <w:tcW w:w="1341"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lang w:bidi="ar"/>
              </w:rPr>
              <w:t>93.86%</w:t>
            </w:r>
          </w:p>
        </w:tc>
        <w:tc>
          <w:tcPr>
            <w:tcW w:w="878"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Arial Narrow" w:hAnsi="Arial Narrow" w:eastAsia="仿宋_GB2312" w:cs="Arial Narrow"/>
                <w:color w:val="auto"/>
                <w:kern w:val="0"/>
                <w:highlight w:val="none"/>
                <w:lang w:eastAsia="zh-CN"/>
              </w:rPr>
            </w:pPr>
            <w:r>
              <w:rPr>
                <w:rFonts w:hint="eastAsia" w:ascii="Arial Narrow" w:hAnsi="Arial Narrow" w:eastAsia="仿宋_GB2312" w:cs="Arial Narrow"/>
                <w:color w:val="auto"/>
                <w:kern w:val="0"/>
                <w:highlight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continue"/>
            <w:vAlign w:val="center"/>
          </w:tcPr>
          <w:p>
            <w:pPr>
              <w:keepNext w:val="0"/>
              <w:keepLines w:val="0"/>
              <w:pageBreakBefore w:val="0"/>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p>
        </w:tc>
        <w:tc>
          <w:tcPr>
            <w:tcW w:w="132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数量指标</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委员会议递交提案比例</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（2分）</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80%</w:t>
            </w:r>
          </w:p>
        </w:tc>
        <w:tc>
          <w:tcPr>
            <w:tcW w:w="1341"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lang w:val="en-US" w:eastAsia="zh-CN" w:bidi="ar"/>
              </w:rPr>
              <w:t>93.45</w:t>
            </w:r>
            <w:r>
              <w:rPr>
                <w:rFonts w:ascii="Arial Narrow" w:hAnsi="Arial Narrow" w:eastAsia="仿宋_GB2312" w:cs="Arial Narrow"/>
                <w:color w:val="auto"/>
                <w:kern w:val="0"/>
                <w:highlight w:val="none"/>
                <w:lang w:bidi="ar"/>
              </w:rPr>
              <w:t>%</w:t>
            </w:r>
          </w:p>
        </w:tc>
        <w:tc>
          <w:tcPr>
            <w:tcW w:w="878"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2</w:t>
            </w:r>
            <w:r>
              <w:rPr>
                <w:rFonts w:hint="eastAsia" w:ascii="Arial Narrow" w:hAnsi="Arial Narrow" w:eastAsia="仿宋_GB2312" w:cs="Arial Narrow"/>
                <w:color w:val="auto"/>
                <w:kern w:val="0"/>
                <w:highlight w:val="none"/>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continue"/>
            <w:vAlign w:val="center"/>
          </w:tcPr>
          <w:p>
            <w:pPr>
              <w:keepNext w:val="0"/>
              <w:keepLines w:val="0"/>
              <w:pageBreakBefore w:val="0"/>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p>
        </w:tc>
        <w:tc>
          <w:tcPr>
            <w:tcW w:w="132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数量指标</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协作研讨类会议次数</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（1.5分）</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12次</w:t>
            </w:r>
          </w:p>
        </w:tc>
        <w:tc>
          <w:tcPr>
            <w:tcW w:w="134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Arial Narrow" w:hAnsi="Arial Narrow" w:eastAsia="仿宋_GB2312" w:cs="Arial Narrow"/>
                <w:color w:val="auto"/>
                <w:kern w:val="0"/>
                <w:highlight w:val="none"/>
                <w:lang w:bidi="ar"/>
              </w:rPr>
            </w:pPr>
            <w:r>
              <w:rPr>
                <w:rFonts w:hint="default" w:ascii="Arial Narrow" w:hAnsi="Arial Narrow" w:eastAsia="仿宋_GB2312" w:cs="Arial Narrow"/>
                <w:i w:val="0"/>
                <w:iCs w:val="0"/>
                <w:color w:val="auto"/>
                <w:kern w:val="0"/>
                <w:sz w:val="21"/>
                <w:szCs w:val="21"/>
                <w:highlight w:val="none"/>
                <w:u w:val="none"/>
                <w:lang w:val="en-US" w:eastAsia="zh-CN" w:bidi="ar"/>
              </w:rPr>
              <w:t>12次</w:t>
            </w:r>
          </w:p>
        </w:tc>
        <w:tc>
          <w:tcPr>
            <w:tcW w:w="878"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Arial Narrow" w:hAnsi="Arial Narrow" w:eastAsia="仿宋_GB2312" w:cs="Arial Narrow"/>
                <w:color w:val="auto"/>
                <w:kern w:val="0"/>
                <w:highlight w:val="none"/>
                <w:lang w:bidi="ar"/>
              </w:rPr>
            </w:pPr>
            <w:r>
              <w:rPr>
                <w:rFonts w:hint="default" w:ascii="Arial Narrow" w:hAnsi="Arial Narrow" w:eastAsia="仿宋_GB2312" w:cs="Arial Narrow"/>
                <w:i w:val="0"/>
                <w:iCs w:val="0"/>
                <w:color w:val="auto"/>
                <w:kern w:val="0"/>
                <w:sz w:val="21"/>
                <w:szCs w:val="21"/>
                <w:highlight w:val="none"/>
                <w:u w:val="none"/>
                <w:lang w:val="en-US" w:eastAsia="zh-CN" w:bidi="ar"/>
              </w:rPr>
              <w:t xml:space="preserve">1.50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continue"/>
            <w:vAlign w:val="center"/>
          </w:tcPr>
          <w:p>
            <w:pPr>
              <w:keepNext w:val="0"/>
              <w:keepLines w:val="0"/>
              <w:pageBreakBefore w:val="0"/>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p>
        </w:tc>
        <w:tc>
          <w:tcPr>
            <w:tcW w:w="132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数量指标</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团结联谊类会议次数</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（1.5分）</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1次</w:t>
            </w:r>
          </w:p>
        </w:tc>
        <w:tc>
          <w:tcPr>
            <w:tcW w:w="134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Arial Narrow" w:hAnsi="Arial Narrow" w:eastAsia="仿宋_GB2312" w:cs="Arial Narrow"/>
                <w:color w:val="auto"/>
                <w:kern w:val="0"/>
                <w:highlight w:val="none"/>
                <w:lang w:bidi="ar"/>
              </w:rPr>
            </w:pPr>
            <w:r>
              <w:rPr>
                <w:rFonts w:hint="default" w:ascii="Arial Narrow" w:hAnsi="Arial Narrow" w:eastAsia="仿宋_GB2312" w:cs="Arial Narrow"/>
                <w:i w:val="0"/>
                <w:iCs w:val="0"/>
                <w:color w:val="auto"/>
                <w:kern w:val="0"/>
                <w:sz w:val="21"/>
                <w:szCs w:val="21"/>
                <w:highlight w:val="none"/>
                <w:u w:val="none"/>
                <w:lang w:val="en-US" w:eastAsia="zh-CN" w:bidi="ar"/>
              </w:rPr>
              <w:t>0次</w:t>
            </w:r>
          </w:p>
        </w:tc>
        <w:tc>
          <w:tcPr>
            <w:tcW w:w="878"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Arial Narrow" w:hAnsi="Arial Narrow" w:eastAsia="仿宋_GB2312" w:cs="Arial Narrow"/>
                <w:color w:val="auto"/>
                <w:kern w:val="0"/>
                <w:highlight w:val="none"/>
                <w:lang w:bidi="ar"/>
              </w:rPr>
            </w:pPr>
            <w:r>
              <w:rPr>
                <w:rFonts w:hint="default" w:ascii="Arial Narrow" w:hAnsi="Arial Narrow" w:eastAsia="仿宋_GB2312" w:cs="Arial Narrow"/>
                <w:i w:val="0"/>
                <w:iCs w:val="0"/>
                <w:color w:val="auto"/>
                <w:kern w:val="0"/>
                <w:sz w:val="21"/>
                <w:szCs w:val="21"/>
                <w:highlight w:val="none"/>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continue"/>
            <w:vAlign w:val="center"/>
          </w:tcPr>
          <w:p>
            <w:pPr>
              <w:keepNext w:val="0"/>
              <w:keepLines w:val="0"/>
              <w:pageBreakBefore w:val="0"/>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p>
        </w:tc>
        <w:tc>
          <w:tcPr>
            <w:tcW w:w="132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数量指标</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协商议政类会议次数</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（1.5分）</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15次</w:t>
            </w:r>
          </w:p>
        </w:tc>
        <w:tc>
          <w:tcPr>
            <w:tcW w:w="134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Arial Narrow" w:hAnsi="Arial Narrow" w:eastAsia="仿宋_GB2312" w:cs="Arial Narrow"/>
                <w:color w:val="auto"/>
                <w:kern w:val="0"/>
                <w:highlight w:val="none"/>
              </w:rPr>
            </w:pPr>
            <w:r>
              <w:rPr>
                <w:rFonts w:hint="eastAsia" w:ascii="Arial Narrow" w:hAnsi="Arial Narrow" w:eastAsia="仿宋_GB2312" w:cs="Arial Narrow"/>
                <w:i w:val="0"/>
                <w:iCs w:val="0"/>
                <w:color w:val="auto"/>
                <w:kern w:val="0"/>
                <w:sz w:val="21"/>
                <w:szCs w:val="21"/>
                <w:highlight w:val="none"/>
                <w:u w:val="none"/>
                <w:lang w:val="en-US" w:eastAsia="zh-CN" w:bidi="ar"/>
              </w:rPr>
              <w:t>15</w:t>
            </w:r>
            <w:r>
              <w:rPr>
                <w:rFonts w:hint="default" w:ascii="Arial Narrow" w:hAnsi="Arial Narrow" w:eastAsia="仿宋_GB2312" w:cs="Arial Narrow"/>
                <w:i w:val="0"/>
                <w:iCs w:val="0"/>
                <w:color w:val="auto"/>
                <w:kern w:val="0"/>
                <w:sz w:val="21"/>
                <w:szCs w:val="21"/>
                <w:highlight w:val="none"/>
                <w:u w:val="none"/>
                <w:lang w:val="en-US" w:eastAsia="zh-CN" w:bidi="ar"/>
              </w:rPr>
              <w:t>次</w:t>
            </w:r>
          </w:p>
        </w:tc>
        <w:tc>
          <w:tcPr>
            <w:tcW w:w="878"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Arial Narrow" w:hAnsi="Arial Narrow" w:eastAsia="仿宋_GB2312" w:cs="Arial Narrow"/>
                <w:color w:val="auto"/>
                <w:kern w:val="0"/>
                <w:highlight w:val="none"/>
              </w:rPr>
            </w:pPr>
            <w:r>
              <w:rPr>
                <w:rFonts w:hint="eastAsia" w:ascii="Arial Narrow" w:hAnsi="Arial Narrow" w:eastAsia="仿宋_GB2312" w:cs="Arial Narrow"/>
                <w:i w:val="0"/>
                <w:iCs w:val="0"/>
                <w:color w:val="auto"/>
                <w:kern w:val="0"/>
                <w:sz w:val="21"/>
                <w:szCs w:val="21"/>
                <w:highlight w:val="none"/>
                <w:u w:val="none"/>
                <w:lang w:val="en-US" w:eastAsia="zh-CN" w:bidi="ar"/>
              </w:rPr>
              <w:t>1.50</w:t>
            </w:r>
            <w:r>
              <w:rPr>
                <w:rFonts w:hint="default" w:ascii="Arial Narrow" w:hAnsi="Arial Narrow" w:eastAsia="仿宋_GB2312" w:cs="Arial Narrow"/>
                <w:i w:val="0"/>
                <w:iCs w:val="0"/>
                <w:color w:val="auto"/>
                <w:kern w:val="0"/>
                <w:sz w:val="21"/>
                <w:szCs w:val="21"/>
                <w:highlight w:val="none"/>
                <w:u w:val="none"/>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continue"/>
            <w:vAlign w:val="center"/>
          </w:tcPr>
          <w:p>
            <w:pPr>
              <w:widowControl/>
              <w:jc w:val="center"/>
              <w:rPr>
                <w:rFonts w:ascii="Arial Narrow" w:hAnsi="Arial Narrow" w:eastAsia="仿宋_GB2312" w:cs="Arial Narrow"/>
                <w:color w:val="auto"/>
                <w:kern w:val="0"/>
                <w:highlight w:val="none"/>
              </w:rPr>
            </w:pPr>
          </w:p>
        </w:tc>
        <w:tc>
          <w:tcPr>
            <w:tcW w:w="653" w:type="dxa"/>
            <w:vMerge w:val="continue"/>
            <w:vAlign w:val="center"/>
          </w:tcPr>
          <w:p>
            <w:pPr>
              <w:keepNext w:val="0"/>
              <w:keepLines w:val="0"/>
              <w:pageBreakBefore w:val="0"/>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p>
        </w:tc>
        <w:tc>
          <w:tcPr>
            <w:tcW w:w="132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成本指标</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人均每天支出金额（2分）</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按会议预算执行</w:t>
            </w:r>
          </w:p>
        </w:tc>
        <w:tc>
          <w:tcPr>
            <w:tcW w:w="1341" w:type="dxa"/>
            <w:vAlign w:val="center"/>
          </w:tcPr>
          <w:p>
            <w:pPr>
              <w:keepNext w:val="0"/>
              <w:keepLines w:val="0"/>
              <w:pageBreakBefore w:val="0"/>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按会议预算执行</w:t>
            </w:r>
          </w:p>
        </w:tc>
        <w:tc>
          <w:tcPr>
            <w:tcW w:w="878"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2</w:t>
            </w:r>
            <w:r>
              <w:rPr>
                <w:rFonts w:hint="eastAsia" w:ascii="Arial Narrow" w:hAnsi="Arial Narrow" w:eastAsia="仿宋_GB2312" w:cs="Arial Narrow"/>
                <w:color w:val="auto"/>
                <w:kern w:val="0"/>
                <w:highlight w:val="none"/>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continue"/>
            <w:vAlign w:val="center"/>
          </w:tcPr>
          <w:p>
            <w:pPr>
              <w:widowControl/>
              <w:jc w:val="center"/>
              <w:rPr>
                <w:rFonts w:ascii="Arial Narrow" w:hAnsi="Arial Narrow" w:eastAsia="仿宋_GB2312" w:cs="Arial Narrow"/>
                <w:color w:val="auto"/>
                <w:kern w:val="0"/>
                <w:highlight w:val="none"/>
              </w:rPr>
            </w:pPr>
          </w:p>
        </w:tc>
        <w:tc>
          <w:tcPr>
            <w:tcW w:w="653" w:type="dxa"/>
            <w:vMerge w:val="restart"/>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Style w:val="17"/>
                <w:rFonts w:ascii="Arial Narrow" w:hAnsi="Arial Narrow" w:cs="Arial Narrow"/>
                <w:color w:val="auto"/>
                <w:sz w:val="21"/>
                <w:szCs w:val="21"/>
                <w:highlight w:val="none"/>
                <w:lang w:bidi="ar"/>
              </w:rPr>
              <w:t>效益指标</w:t>
            </w:r>
          </w:p>
        </w:tc>
        <w:tc>
          <w:tcPr>
            <w:tcW w:w="132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30"/>
                <w:rFonts w:ascii="Arial Narrow" w:hAnsi="Arial Narrow" w:cs="Arial Narrow"/>
                <w:color w:val="auto"/>
                <w:sz w:val="21"/>
                <w:szCs w:val="21"/>
                <w:highlight w:val="none"/>
                <w:lang w:bidi="ar"/>
              </w:rPr>
            </w:pPr>
            <w:r>
              <w:rPr>
                <w:rStyle w:val="30"/>
                <w:rFonts w:ascii="Arial Narrow" w:hAnsi="Arial Narrow" w:cs="Arial Narrow"/>
                <w:color w:val="auto"/>
                <w:sz w:val="21"/>
                <w:szCs w:val="21"/>
                <w:highlight w:val="none"/>
                <w:lang w:bidi="ar"/>
              </w:rPr>
              <w:t>社会效益</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Style w:val="30"/>
                <w:rFonts w:ascii="Arial Narrow" w:hAnsi="Arial Narrow" w:cs="Arial Narrow"/>
                <w:color w:val="auto"/>
                <w:sz w:val="21"/>
                <w:szCs w:val="21"/>
                <w:highlight w:val="none"/>
                <w:lang w:bidi="ar"/>
              </w:rPr>
              <w:t>指标</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发挥政协在国家治理中的作用（</w:t>
            </w:r>
            <w:r>
              <w:rPr>
                <w:rFonts w:hint="eastAsia" w:ascii="Arial Narrow" w:hAnsi="Arial Narrow" w:eastAsia="仿宋_GB2312" w:cs="Arial Narrow"/>
                <w:color w:val="auto"/>
                <w:kern w:val="0"/>
                <w:highlight w:val="none"/>
                <w:lang w:val="en-US" w:eastAsia="zh-CN" w:bidi="ar"/>
              </w:rPr>
              <w:t>4</w:t>
            </w:r>
            <w:r>
              <w:rPr>
                <w:rFonts w:ascii="Arial Narrow" w:hAnsi="Arial Narrow" w:eastAsia="仿宋_GB2312" w:cs="Arial Narrow"/>
                <w:color w:val="auto"/>
                <w:kern w:val="0"/>
                <w:highlight w:val="none"/>
                <w:lang w:bidi="ar"/>
              </w:rPr>
              <w:t>分）</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效果显著</w:t>
            </w:r>
          </w:p>
        </w:tc>
        <w:tc>
          <w:tcPr>
            <w:tcW w:w="1341"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100%</w:t>
            </w:r>
          </w:p>
        </w:tc>
        <w:tc>
          <w:tcPr>
            <w:tcW w:w="878"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lang w:val="en-US" w:eastAsia="zh-CN" w:bidi="ar"/>
              </w:rPr>
              <w:t>4</w:t>
            </w:r>
            <w:r>
              <w:rPr>
                <w:rFonts w:hint="eastAsia" w:ascii="Arial Narrow" w:hAnsi="Arial Narrow" w:eastAsia="仿宋_GB2312" w:cs="Arial Narrow"/>
                <w:color w:val="auto"/>
                <w:kern w:val="0"/>
                <w:highlight w:val="none"/>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continue"/>
            <w:vAlign w:val="center"/>
          </w:tcPr>
          <w:p>
            <w:pPr>
              <w:widowControl/>
              <w:jc w:val="center"/>
              <w:rPr>
                <w:rFonts w:ascii="Arial Narrow" w:hAnsi="Arial Narrow" w:eastAsia="仿宋_GB2312" w:cs="Arial Narrow"/>
                <w:color w:val="auto"/>
                <w:kern w:val="0"/>
                <w:highlight w:val="none"/>
              </w:rPr>
            </w:pPr>
          </w:p>
        </w:tc>
        <w:tc>
          <w:tcPr>
            <w:tcW w:w="653" w:type="dxa"/>
            <w:vMerge w:val="continue"/>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7"/>
                <w:rFonts w:ascii="Arial Narrow" w:hAnsi="Arial Narrow" w:cs="Arial Narrow"/>
                <w:color w:val="auto"/>
                <w:sz w:val="21"/>
                <w:szCs w:val="21"/>
                <w:highlight w:val="none"/>
                <w:lang w:bidi="ar"/>
              </w:rPr>
            </w:pPr>
          </w:p>
        </w:tc>
        <w:tc>
          <w:tcPr>
            <w:tcW w:w="132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30"/>
                <w:rFonts w:ascii="Arial Narrow" w:hAnsi="Arial Narrow" w:cs="Arial Narrow"/>
                <w:color w:val="auto"/>
                <w:sz w:val="21"/>
                <w:szCs w:val="21"/>
                <w:highlight w:val="none"/>
                <w:lang w:bidi="ar"/>
              </w:rPr>
            </w:pPr>
            <w:r>
              <w:rPr>
                <w:rStyle w:val="30"/>
                <w:rFonts w:ascii="Arial Narrow" w:hAnsi="Arial Narrow" w:cs="Arial Narrow"/>
                <w:color w:val="auto"/>
                <w:sz w:val="21"/>
                <w:szCs w:val="21"/>
                <w:highlight w:val="none"/>
                <w:lang w:bidi="ar"/>
              </w:rPr>
              <w:t>可持续影响</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社会关注度高（</w:t>
            </w:r>
            <w:r>
              <w:rPr>
                <w:rFonts w:hint="eastAsia" w:ascii="Arial Narrow" w:hAnsi="Arial Narrow" w:eastAsia="仿宋_GB2312" w:cs="Arial Narrow"/>
                <w:color w:val="auto"/>
                <w:kern w:val="0"/>
                <w:highlight w:val="none"/>
                <w:lang w:val="en-US" w:eastAsia="zh-CN" w:bidi="ar"/>
              </w:rPr>
              <w:t>4</w:t>
            </w:r>
            <w:r>
              <w:rPr>
                <w:rFonts w:ascii="Arial Narrow" w:hAnsi="Arial Narrow" w:eastAsia="仿宋_GB2312" w:cs="Arial Narrow"/>
                <w:color w:val="auto"/>
                <w:kern w:val="0"/>
                <w:highlight w:val="none"/>
                <w:lang w:bidi="ar"/>
              </w:rPr>
              <w:t>分）</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社会关注度高</w:t>
            </w:r>
          </w:p>
        </w:tc>
        <w:tc>
          <w:tcPr>
            <w:tcW w:w="1341"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社会关注度高</w:t>
            </w:r>
          </w:p>
        </w:tc>
        <w:tc>
          <w:tcPr>
            <w:tcW w:w="878"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hint="eastAsia" w:ascii="Arial Narrow" w:hAnsi="Arial Narrow" w:eastAsia="仿宋_GB2312" w:cs="Arial Narrow"/>
                <w:color w:val="auto"/>
                <w:kern w:val="0"/>
                <w:highlight w:val="none"/>
                <w:lang w:val="en-US" w:eastAsia="zh-CN" w:bidi="ar"/>
              </w:rPr>
              <w:t>4</w:t>
            </w:r>
            <w:r>
              <w:rPr>
                <w:rFonts w:hint="eastAsia" w:ascii="Arial Narrow" w:hAnsi="Arial Narrow" w:eastAsia="仿宋_GB2312" w:cs="Arial Narrow"/>
                <w:color w:val="auto"/>
                <w:kern w:val="0"/>
                <w:highlight w:val="none"/>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24" w:hRule="atLeast"/>
          <w:jc w:val="center"/>
        </w:trPr>
        <w:tc>
          <w:tcPr>
            <w:tcW w:w="1429" w:type="dxa"/>
            <w:gridSpan w:val="2"/>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年度绩效目标2：（</w:t>
            </w:r>
            <w:r>
              <w:rPr>
                <w:rFonts w:hint="eastAsia" w:ascii="Arial Narrow" w:hAnsi="Arial Narrow" w:eastAsia="仿宋_GB2312" w:cs="Arial Narrow"/>
                <w:color w:val="auto"/>
                <w:kern w:val="0"/>
                <w:highlight w:val="none"/>
              </w:rPr>
              <w:t>15</w:t>
            </w:r>
            <w:r>
              <w:rPr>
                <w:rFonts w:ascii="Arial Narrow" w:hAnsi="Arial Narrow" w:eastAsia="仿宋_GB2312" w:cs="Arial Narrow"/>
                <w:color w:val="auto"/>
                <w:kern w:val="0"/>
                <w:highlight w:val="none"/>
              </w:rPr>
              <w:t>分）</w:t>
            </w:r>
          </w:p>
        </w:tc>
        <w:tc>
          <w:tcPr>
            <w:tcW w:w="7519" w:type="dxa"/>
            <w:gridSpan w:val="6"/>
            <w:vAlign w:val="center"/>
          </w:tcPr>
          <w:p>
            <w:pPr>
              <w:widowControl/>
              <w:jc w:val="left"/>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围绕党和国家及全省的中心工作，精心制订视察计划，组织委员深入实际、深入基层、深入现场，对中央和地方重大方针政策的贯彻落实，对全省经济社会发展中重大项目的规划建设，对人民群众普遍关注的重大问题的研究解决，进行巡视察看，资政建言，反映社情民意，开展民主监督，做好省政协委员视察工作，向省委、省政府提出专题建言，为全面建设社会主义现代化强省发挥履职建言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jc w:val="center"/>
        </w:trPr>
        <w:tc>
          <w:tcPr>
            <w:tcW w:w="776" w:type="dxa"/>
            <w:vMerge w:val="restart"/>
            <w:vAlign w:val="center"/>
          </w:tcPr>
          <w:p>
            <w:pPr>
              <w:widowControl/>
              <w:jc w:val="center"/>
              <w:rPr>
                <w:rFonts w:ascii="Arial Narrow" w:hAnsi="Arial Narrow" w:eastAsia="仿宋_GB2312" w:cs="Arial Narrow"/>
                <w:color w:val="auto"/>
                <w:kern w:val="0"/>
                <w:highlight w:val="none"/>
              </w:rPr>
            </w:pPr>
          </w:p>
          <w:p>
            <w:pPr>
              <w:widowControl/>
              <w:jc w:val="center"/>
              <w:rPr>
                <w:rFonts w:ascii="Arial Narrow" w:hAnsi="Arial Narrow" w:eastAsia="仿宋_GB2312" w:cs="Arial Narrow"/>
                <w:color w:val="auto"/>
                <w:kern w:val="0"/>
                <w:highlight w:val="none"/>
              </w:rPr>
            </w:pPr>
          </w:p>
          <w:p>
            <w:pPr>
              <w:widowControl/>
              <w:jc w:val="center"/>
              <w:rPr>
                <w:rFonts w:ascii="Arial Narrow" w:hAnsi="Arial Narrow" w:eastAsia="仿宋_GB2312" w:cs="Arial Narrow"/>
                <w:color w:val="auto"/>
                <w:kern w:val="0"/>
                <w:highlight w:val="none"/>
              </w:rPr>
            </w:pPr>
          </w:p>
          <w:p>
            <w:pPr>
              <w:widowControl/>
              <w:jc w:val="center"/>
              <w:rPr>
                <w:rFonts w:ascii="Arial Narrow" w:hAnsi="Arial Narrow" w:eastAsia="仿宋_GB2312" w:cs="Arial Narrow"/>
                <w:color w:val="auto"/>
                <w:kern w:val="0"/>
                <w:highlight w:val="none"/>
              </w:rPr>
            </w:pPr>
          </w:p>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年度绩效指标</w:t>
            </w:r>
          </w:p>
          <w:p>
            <w:pPr>
              <w:widowControl/>
              <w:jc w:val="center"/>
              <w:rPr>
                <w:rFonts w:ascii="Arial Narrow" w:hAnsi="Arial Narrow" w:eastAsia="仿宋_GB2312" w:cs="Arial Narrow"/>
                <w:color w:val="auto"/>
                <w:kern w:val="0"/>
                <w:highlight w:val="none"/>
              </w:rPr>
            </w:pPr>
          </w:p>
          <w:p>
            <w:pPr>
              <w:widowControl/>
              <w:jc w:val="center"/>
              <w:rPr>
                <w:rFonts w:ascii="Arial Narrow" w:hAnsi="Arial Narrow" w:eastAsia="仿宋_GB2312" w:cs="Arial Narrow"/>
                <w:color w:val="auto"/>
                <w:kern w:val="0"/>
                <w:highlight w:val="none"/>
              </w:rPr>
            </w:pPr>
          </w:p>
          <w:p>
            <w:pPr>
              <w:widowControl/>
              <w:jc w:val="center"/>
              <w:rPr>
                <w:rFonts w:ascii="Arial Narrow" w:hAnsi="Arial Narrow" w:eastAsia="仿宋_GB2312" w:cs="Arial Narrow"/>
                <w:color w:val="auto"/>
                <w:kern w:val="0"/>
                <w:highlight w:val="none"/>
              </w:rPr>
            </w:pPr>
          </w:p>
          <w:p>
            <w:pPr>
              <w:widowControl/>
              <w:jc w:val="center"/>
              <w:rPr>
                <w:rFonts w:ascii="Arial Narrow" w:hAnsi="Arial Narrow" w:eastAsia="仿宋_GB2312" w:cs="Arial Narrow"/>
                <w:color w:val="auto"/>
                <w:kern w:val="0"/>
                <w:highlight w:val="none"/>
              </w:rPr>
            </w:pPr>
          </w:p>
          <w:p>
            <w:pPr>
              <w:widowControl/>
              <w:jc w:val="center"/>
              <w:rPr>
                <w:rFonts w:ascii="Arial Narrow" w:hAnsi="Arial Narrow" w:eastAsia="仿宋_GB2312" w:cs="Arial Narrow"/>
                <w:color w:val="auto"/>
                <w:kern w:val="0"/>
                <w:highlight w:val="none"/>
              </w:rPr>
            </w:pPr>
          </w:p>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年度绩效指标</w:t>
            </w:r>
          </w:p>
        </w:tc>
        <w:tc>
          <w:tcPr>
            <w:tcW w:w="653" w:type="dxa"/>
            <w:vAlign w:val="center"/>
          </w:tcPr>
          <w:p>
            <w:pPr>
              <w:keepNext w:val="0"/>
              <w:keepLines w:val="0"/>
              <w:pageBreakBefore w:val="0"/>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一级指标</w:t>
            </w:r>
          </w:p>
        </w:tc>
        <w:tc>
          <w:tcPr>
            <w:tcW w:w="132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二级指标</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三级指标</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年初目标值（A）</w:t>
            </w:r>
          </w:p>
        </w:tc>
        <w:tc>
          <w:tcPr>
            <w:tcW w:w="1341"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实际完成值（B）</w:t>
            </w:r>
          </w:p>
        </w:tc>
        <w:tc>
          <w:tcPr>
            <w:tcW w:w="878"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restart"/>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产出指标</w:t>
            </w:r>
          </w:p>
        </w:tc>
        <w:tc>
          <w:tcPr>
            <w:tcW w:w="132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数量指标</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组织委员调研活动次数</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w:t>
            </w:r>
            <w:r>
              <w:rPr>
                <w:rFonts w:hint="eastAsia" w:ascii="Arial Narrow" w:hAnsi="Arial Narrow" w:eastAsia="仿宋_GB2312" w:cs="Arial Narrow"/>
                <w:color w:val="auto"/>
                <w:kern w:val="0"/>
                <w:highlight w:val="none"/>
                <w:lang w:val="en-US" w:eastAsia="zh-CN" w:bidi="ar"/>
              </w:rPr>
              <w:t>2</w:t>
            </w:r>
            <w:r>
              <w:rPr>
                <w:rFonts w:ascii="Arial Narrow" w:hAnsi="Arial Narrow" w:eastAsia="仿宋_GB2312" w:cs="Arial Narrow"/>
                <w:color w:val="auto"/>
                <w:kern w:val="0"/>
                <w:highlight w:val="none"/>
                <w:lang w:bidi="ar"/>
              </w:rPr>
              <w:t>分）</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50</w:t>
            </w:r>
            <w:r>
              <w:rPr>
                <w:rFonts w:hint="eastAsia" w:ascii="Arial Narrow" w:hAnsi="Arial Narrow" w:eastAsia="仿宋_GB2312" w:cs="Arial Narrow"/>
                <w:color w:val="auto"/>
                <w:kern w:val="0"/>
                <w:highlight w:val="none"/>
                <w:lang w:bidi="ar"/>
              </w:rPr>
              <w:t>次</w:t>
            </w:r>
          </w:p>
        </w:tc>
        <w:tc>
          <w:tcPr>
            <w:tcW w:w="1341"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highlight w:val="none"/>
              </w:rPr>
            </w:pPr>
            <w:r>
              <w:rPr>
                <w:rFonts w:ascii="Arial Narrow" w:hAnsi="Arial Narrow" w:eastAsia="仿宋_GB2312" w:cs="Arial Narrow"/>
                <w:color w:val="auto"/>
                <w:kern w:val="0"/>
                <w:highlight w:val="none"/>
                <w:lang w:bidi="ar"/>
              </w:rPr>
              <w:t>64</w:t>
            </w:r>
            <w:r>
              <w:rPr>
                <w:rFonts w:hint="eastAsia" w:ascii="Arial Narrow" w:hAnsi="Arial Narrow" w:eastAsia="仿宋_GB2312" w:cs="Arial Narrow"/>
                <w:color w:val="auto"/>
                <w:kern w:val="0"/>
                <w:highlight w:val="none"/>
                <w:lang w:bidi="ar"/>
              </w:rPr>
              <w:t>次</w:t>
            </w:r>
          </w:p>
        </w:tc>
        <w:tc>
          <w:tcPr>
            <w:tcW w:w="878"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lang w:val="en-US" w:eastAsia="zh-CN" w:bidi="ar"/>
              </w:rPr>
              <w:t>2.0</w:t>
            </w:r>
            <w:r>
              <w:rPr>
                <w:rFonts w:hint="eastAsia" w:ascii="Arial Narrow" w:hAnsi="Arial Narrow" w:eastAsia="仿宋_GB2312" w:cs="Arial Narrow"/>
                <w:color w:val="auto"/>
                <w:kern w:val="0"/>
                <w:highlight w:val="none"/>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continue"/>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p>
        </w:tc>
        <w:tc>
          <w:tcPr>
            <w:tcW w:w="132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质量指标</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反映调研考察成果的信息数量（2分）</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45</w:t>
            </w:r>
            <w:r>
              <w:rPr>
                <w:rFonts w:hint="eastAsia" w:ascii="Arial Narrow" w:hAnsi="Arial Narrow" w:eastAsia="仿宋_GB2312" w:cs="Arial Narrow"/>
                <w:color w:val="auto"/>
                <w:kern w:val="0"/>
                <w:highlight w:val="none"/>
                <w:lang w:bidi="ar"/>
              </w:rPr>
              <w:t>项</w:t>
            </w:r>
          </w:p>
        </w:tc>
        <w:tc>
          <w:tcPr>
            <w:tcW w:w="1341"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89</w:t>
            </w:r>
            <w:r>
              <w:rPr>
                <w:rFonts w:hint="eastAsia" w:ascii="Arial Narrow" w:hAnsi="Arial Narrow" w:eastAsia="仿宋_GB2312" w:cs="Arial Narrow"/>
                <w:color w:val="auto"/>
                <w:kern w:val="0"/>
                <w:highlight w:val="none"/>
                <w:lang w:bidi="ar"/>
              </w:rPr>
              <w:t>项</w:t>
            </w:r>
          </w:p>
        </w:tc>
        <w:tc>
          <w:tcPr>
            <w:tcW w:w="878"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2</w:t>
            </w:r>
            <w:r>
              <w:rPr>
                <w:rFonts w:hint="eastAsia" w:ascii="Arial Narrow" w:hAnsi="Arial Narrow" w:eastAsia="仿宋_GB2312" w:cs="Arial Narrow"/>
                <w:color w:val="auto"/>
                <w:kern w:val="0"/>
                <w:highlight w:val="none"/>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continue"/>
            <w:vAlign w:val="center"/>
          </w:tcPr>
          <w:p>
            <w:pPr>
              <w:keepNext w:val="0"/>
              <w:keepLines w:val="0"/>
              <w:pageBreakBefore w:val="0"/>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p>
        </w:tc>
        <w:tc>
          <w:tcPr>
            <w:tcW w:w="132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质量指标</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根据民主监督内容的需要，合理安排委员参与相关活动（</w:t>
            </w:r>
            <w:r>
              <w:rPr>
                <w:rFonts w:hint="eastAsia" w:ascii="Arial Narrow" w:hAnsi="Arial Narrow" w:eastAsia="仿宋_GB2312" w:cs="Arial Narrow"/>
                <w:color w:val="auto"/>
                <w:kern w:val="0"/>
                <w:highlight w:val="none"/>
                <w:lang w:bidi="ar"/>
              </w:rPr>
              <w:t>2</w:t>
            </w:r>
            <w:r>
              <w:rPr>
                <w:rFonts w:ascii="Arial Narrow" w:hAnsi="Arial Narrow" w:eastAsia="仿宋_GB2312" w:cs="Arial Narrow"/>
                <w:color w:val="auto"/>
                <w:kern w:val="0"/>
                <w:highlight w:val="none"/>
                <w:lang w:bidi="ar"/>
              </w:rPr>
              <w:t>分）</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合理安排</w:t>
            </w:r>
          </w:p>
        </w:tc>
        <w:tc>
          <w:tcPr>
            <w:tcW w:w="1341"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合理安排</w:t>
            </w:r>
          </w:p>
        </w:tc>
        <w:tc>
          <w:tcPr>
            <w:tcW w:w="878"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4"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效益指标</w:t>
            </w:r>
          </w:p>
        </w:tc>
        <w:tc>
          <w:tcPr>
            <w:tcW w:w="132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社会效益</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通过开展民主监督落实推动相关工作进展情况（</w:t>
            </w:r>
            <w:r>
              <w:rPr>
                <w:rFonts w:hint="eastAsia" w:ascii="Arial Narrow" w:hAnsi="Arial Narrow" w:eastAsia="仿宋_GB2312" w:cs="Arial Narrow"/>
                <w:color w:val="auto"/>
                <w:kern w:val="0"/>
                <w:highlight w:val="none"/>
                <w:lang w:val="en-US" w:eastAsia="zh-CN" w:bidi="ar"/>
              </w:rPr>
              <w:t>4</w:t>
            </w:r>
            <w:r>
              <w:rPr>
                <w:rFonts w:ascii="Arial Narrow" w:hAnsi="Arial Narrow" w:eastAsia="仿宋_GB2312" w:cs="Arial Narrow"/>
                <w:color w:val="auto"/>
                <w:kern w:val="0"/>
                <w:highlight w:val="none"/>
                <w:lang w:bidi="ar"/>
              </w:rPr>
              <w:t>分）</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有力推动</w:t>
            </w:r>
          </w:p>
        </w:tc>
        <w:tc>
          <w:tcPr>
            <w:tcW w:w="1341"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有力推动</w:t>
            </w:r>
          </w:p>
        </w:tc>
        <w:tc>
          <w:tcPr>
            <w:tcW w:w="878"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lang w:val="en-US" w:eastAsia="zh-CN" w:bidi="ar"/>
              </w:rPr>
              <w:t>4</w:t>
            </w:r>
            <w:r>
              <w:rPr>
                <w:rFonts w:hint="eastAsia" w:ascii="Arial Narrow" w:hAnsi="Arial Narrow" w:eastAsia="仿宋_GB2312" w:cs="Arial Narrow"/>
                <w:color w:val="auto"/>
                <w:kern w:val="0"/>
                <w:highlight w:val="none"/>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Align w:val="center"/>
          </w:tcPr>
          <w:p>
            <w:pPr>
              <w:keepNext w:val="0"/>
              <w:keepLines w:val="0"/>
              <w:pageBreakBefore w:val="0"/>
              <w:kinsoku/>
              <w:wordWrap/>
              <w:overflowPunct/>
              <w:topLinePunct w:val="0"/>
              <w:autoSpaceDE/>
              <w:autoSpaceDN/>
              <w:bidi w:val="0"/>
              <w:adjustRightInd/>
              <w:snapToGrid/>
              <w:spacing w:line="30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满意度指标</w:t>
            </w:r>
          </w:p>
        </w:tc>
        <w:tc>
          <w:tcPr>
            <w:tcW w:w="1324"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lang w:bidi="ar"/>
              </w:rPr>
              <w:t>服务对象满意度指标</w:t>
            </w:r>
          </w:p>
        </w:tc>
        <w:tc>
          <w:tcPr>
            <w:tcW w:w="2694" w:type="dxa"/>
            <w:gridSpan w:val="2"/>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lang w:bidi="ar"/>
              </w:rPr>
            </w:pPr>
            <w:r>
              <w:rPr>
                <w:rFonts w:hint="eastAsia" w:ascii="Arial Narrow" w:hAnsi="Arial Narrow" w:eastAsia="仿宋_GB2312" w:cs="Arial Narrow"/>
                <w:color w:val="auto"/>
                <w:kern w:val="0"/>
                <w:highlight w:val="none"/>
                <w:lang w:bidi="ar"/>
              </w:rPr>
              <w:t>委员对省政协各专门委员会办公室、办公厅联络处及有关处室承办委员视察具体实施工作的满意程度</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（5分）</w:t>
            </w:r>
          </w:p>
        </w:tc>
        <w:tc>
          <w:tcPr>
            <w:tcW w:w="1282"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lang w:bidi="ar"/>
              </w:rPr>
              <w:t>非常满意</w:t>
            </w:r>
          </w:p>
        </w:tc>
        <w:tc>
          <w:tcPr>
            <w:tcW w:w="1341"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lang w:bidi="ar"/>
              </w:rPr>
              <w:t>非常满意</w:t>
            </w:r>
          </w:p>
        </w:tc>
        <w:tc>
          <w:tcPr>
            <w:tcW w:w="878" w:type="dxa"/>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lang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8" w:hRule="atLeast"/>
          <w:jc w:val="center"/>
        </w:trPr>
        <w:tc>
          <w:tcPr>
            <w:tcW w:w="1429" w:type="dxa"/>
            <w:gridSpan w:val="2"/>
            <w:vAlign w:val="center"/>
          </w:tcPr>
          <w:p>
            <w:pPr>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年度绩效目标3：（</w:t>
            </w:r>
            <w:r>
              <w:rPr>
                <w:rFonts w:hint="eastAsia" w:ascii="Arial Narrow" w:hAnsi="Arial Narrow" w:eastAsia="仿宋_GB2312" w:cs="Arial Narrow"/>
                <w:color w:val="auto"/>
                <w:kern w:val="0"/>
                <w:highlight w:val="none"/>
              </w:rPr>
              <w:t>2</w:t>
            </w:r>
            <w:r>
              <w:rPr>
                <w:rFonts w:hint="eastAsia" w:ascii="Arial Narrow" w:hAnsi="Arial Narrow" w:eastAsia="仿宋_GB2312" w:cs="Arial Narrow"/>
                <w:color w:val="auto"/>
                <w:kern w:val="0"/>
                <w:highlight w:val="none"/>
                <w:lang w:val="en-US" w:eastAsia="zh-CN"/>
              </w:rPr>
              <w:t>0</w:t>
            </w:r>
            <w:r>
              <w:rPr>
                <w:rFonts w:ascii="Arial Narrow" w:hAnsi="Arial Narrow" w:eastAsia="仿宋_GB2312" w:cs="Arial Narrow"/>
                <w:color w:val="auto"/>
                <w:kern w:val="0"/>
                <w:highlight w:val="none"/>
              </w:rPr>
              <w:t>分）</w:t>
            </w:r>
          </w:p>
        </w:tc>
        <w:tc>
          <w:tcPr>
            <w:tcW w:w="7519" w:type="dxa"/>
            <w:gridSpan w:val="6"/>
            <w:vAlign w:val="center"/>
          </w:tcPr>
          <w:p>
            <w:pPr>
              <w:widowControl/>
              <w:jc w:val="left"/>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充分发挥政协委员主体作用，利用政协委员包容各界、联系广泛、人才聚集的优势和特点，对政治、经济、文化和社会生活中的重要问题以及人民群众普遍关心的问题，开展调查研究，发挥好社情民意“零距离”、“直通车”作用，坚持协商于民、协商为民，充分协商讨论，并通过调研报告、提案、建议案或其他形式，向党政机关提出意见和建议，促进党委政府科学民主决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restart"/>
            <w:vAlign w:val="center"/>
          </w:tcPr>
          <w:p>
            <w:pPr>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年度绩效指标</w:t>
            </w:r>
          </w:p>
          <w:p>
            <w:pPr>
              <w:jc w:val="center"/>
              <w:rPr>
                <w:rFonts w:ascii="Arial Narrow" w:hAnsi="Arial Narrow" w:eastAsia="仿宋_GB2312" w:cs="Arial Narrow"/>
                <w:color w:val="auto"/>
                <w:kern w:val="0"/>
                <w:highlight w:val="none"/>
              </w:rPr>
            </w:pPr>
          </w:p>
          <w:p>
            <w:pPr>
              <w:jc w:val="center"/>
              <w:rPr>
                <w:rFonts w:ascii="Arial Narrow" w:hAnsi="Arial Narrow" w:eastAsia="仿宋_GB2312" w:cs="Arial Narrow"/>
                <w:color w:val="auto"/>
                <w:kern w:val="0"/>
                <w:highlight w:val="none"/>
              </w:rPr>
            </w:pPr>
          </w:p>
        </w:tc>
        <w:tc>
          <w:tcPr>
            <w:tcW w:w="653" w:type="dxa"/>
            <w:vAlign w:val="center"/>
          </w:tcPr>
          <w:p>
            <w:pPr>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一级指标</w:t>
            </w:r>
          </w:p>
        </w:tc>
        <w:tc>
          <w:tcPr>
            <w:tcW w:w="1324" w:type="dxa"/>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二级指标</w:t>
            </w:r>
          </w:p>
        </w:tc>
        <w:tc>
          <w:tcPr>
            <w:tcW w:w="2694" w:type="dxa"/>
            <w:gridSpan w:val="2"/>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三级指标</w:t>
            </w:r>
          </w:p>
        </w:tc>
        <w:tc>
          <w:tcPr>
            <w:tcW w:w="1282" w:type="dxa"/>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年初目标值（A）</w:t>
            </w:r>
          </w:p>
        </w:tc>
        <w:tc>
          <w:tcPr>
            <w:tcW w:w="1341" w:type="dxa"/>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实际完成值（B）</w:t>
            </w:r>
          </w:p>
        </w:tc>
        <w:tc>
          <w:tcPr>
            <w:tcW w:w="878" w:type="dxa"/>
            <w:vAlign w:val="center"/>
          </w:tcPr>
          <w:p>
            <w:pPr>
              <w:widowControl/>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restart"/>
            <w:vAlign w:val="center"/>
          </w:tcPr>
          <w:p>
            <w:pPr>
              <w:widowControl/>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产出指标</w:t>
            </w:r>
          </w:p>
        </w:tc>
        <w:tc>
          <w:tcPr>
            <w:tcW w:w="1324"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数量指标</w:t>
            </w:r>
          </w:p>
        </w:tc>
        <w:tc>
          <w:tcPr>
            <w:tcW w:w="2694" w:type="dxa"/>
            <w:gridSpan w:val="2"/>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《学习与思考》期数</w:t>
            </w:r>
          </w:p>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w:t>
            </w:r>
            <w:r>
              <w:rPr>
                <w:rFonts w:hint="eastAsia" w:ascii="Arial Narrow" w:hAnsi="Arial Narrow" w:eastAsia="仿宋_GB2312" w:cs="Arial Narrow"/>
                <w:color w:val="auto"/>
                <w:kern w:val="0"/>
                <w:highlight w:val="none"/>
                <w:lang w:val="en-US" w:eastAsia="zh-CN" w:bidi="ar"/>
              </w:rPr>
              <w:t>2</w:t>
            </w:r>
            <w:r>
              <w:rPr>
                <w:rFonts w:ascii="Arial Narrow" w:hAnsi="Arial Narrow" w:eastAsia="仿宋_GB2312" w:cs="Arial Narrow"/>
                <w:color w:val="auto"/>
                <w:kern w:val="0"/>
                <w:highlight w:val="none"/>
                <w:lang w:bidi="ar"/>
              </w:rPr>
              <w:t>分）</w:t>
            </w:r>
          </w:p>
        </w:tc>
        <w:tc>
          <w:tcPr>
            <w:tcW w:w="1282"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4</w:t>
            </w:r>
          </w:p>
        </w:tc>
        <w:tc>
          <w:tcPr>
            <w:tcW w:w="1341"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4</w:t>
            </w:r>
          </w:p>
        </w:tc>
        <w:tc>
          <w:tcPr>
            <w:tcW w:w="878" w:type="dxa"/>
            <w:vAlign w:val="center"/>
          </w:tcPr>
          <w:p>
            <w:pPr>
              <w:widowControl/>
              <w:jc w:val="center"/>
              <w:textAlignment w:val="center"/>
              <w:rPr>
                <w:rFonts w:hint="default" w:ascii="Arial Narrow" w:hAnsi="Arial Narrow" w:eastAsia="仿宋_GB2312" w:cs="Arial Narrow"/>
                <w:color w:val="auto"/>
                <w:kern w:val="0"/>
                <w:highlight w:val="none"/>
                <w:lang w:val="en-US" w:eastAsia="zh-CN" w:bidi="ar"/>
              </w:rPr>
            </w:pPr>
            <w:r>
              <w:rPr>
                <w:rFonts w:hint="eastAsia" w:ascii="Arial Narrow" w:hAnsi="Arial Narrow" w:eastAsia="仿宋_GB2312" w:cs="Arial Narrow"/>
                <w:color w:val="auto"/>
                <w:kern w:val="0"/>
                <w:highlight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4"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continue"/>
            <w:vAlign w:val="center"/>
          </w:tcPr>
          <w:p>
            <w:pPr>
              <w:widowControl/>
              <w:jc w:val="center"/>
              <w:textAlignment w:val="center"/>
              <w:rPr>
                <w:rFonts w:ascii="Arial Narrow" w:hAnsi="Arial Narrow" w:eastAsia="仿宋_GB2312" w:cs="Arial Narrow"/>
                <w:color w:val="auto"/>
                <w:kern w:val="0"/>
                <w:highlight w:val="none"/>
                <w:lang w:bidi="ar"/>
              </w:rPr>
            </w:pPr>
          </w:p>
        </w:tc>
        <w:tc>
          <w:tcPr>
            <w:tcW w:w="1324"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数量指标</w:t>
            </w:r>
          </w:p>
        </w:tc>
        <w:tc>
          <w:tcPr>
            <w:tcW w:w="2694" w:type="dxa"/>
            <w:gridSpan w:val="2"/>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《湖北文史》期数（</w:t>
            </w:r>
            <w:r>
              <w:rPr>
                <w:rFonts w:hint="eastAsia" w:ascii="Arial Narrow" w:hAnsi="Arial Narrow" w:eastAsia="仿宋_GB2312" w:cs="Arial Narrow"/>
                <w:color w:val="auto"/>
                <w:kern w:val="0"/>
                <w:highlight w:val="none"/>
                <w:lang w:val="en-US" w:eastAsia="zh-CN" w:bidi="ar"/>
              </w:rPr>
              <w:t>2</w:t>
            </w:r>
            <w:r>
              <w:rPr>
                <w:rFonts w:ascii="Arial Narrow" w:hAnsi="Arial Narrow" w:eastAsia="仿宋_GB2312" w:cs="Arial Narrow"/>
                <w:color w:val="auto"/>
                <w:kern w:val="0"/>
                <w:highlight w:val="none"/>
                <w:lang w:bidi="ar"/>
              </w:rPr>
              <w:t>分）</w:t>
            </w:r>
          </w:p>
        </w:tc>
        <w:tc>
          <w:tcPr>
            <w:tcW w:w="1282"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2</w:t>
            </w:r>
          </w:p>
        </w:tc>
        <w:tc>
          <w:tcPr>
            <w:tcW w:w="1341"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1</w:t>
            </w:r>
          </w:p>
        </w:tc>
        <w:tc>
          <w:tcPr>
            <w:tcW w:w="878" w:type="dxa"/>
            <w:vAlign w:val="center"/>
          </w:tcPr>
          <w:p>
            <w:pPr>
              <w:widowControl/>
              <w:jc w:val="center"/>
              <w:textAlignment w:val="center"/>
              <w:rPr>
                <w:rFonts w:hint="default" w:ascii="Arial Narrow" w:hAnsi="Arial Narrow" w:eastAsia="仿宋_GB2312" w:cs="Arial Narrow"/>
                <w:color w:val="auto"/>
                <w:kern w:val="0"/>
                <w:highlight w:val="none"/>
                <w:lang w:val="en-US" w:eastAsia="zh-CN" w:bidi="ar"/>
              </w:rPr>
            </w:pPr>
            <w:r>
              <w:rPr>
                <w:rFonts w:hint="eastAsia" w:ascii="Arial Narrow" w:hAnsi="Arial Narrow" w:eastAsia="仿宋_GB2312" w:cs="Arial Narrow"/>
                <w:color w:val="auto"/>
                <w:kern w:val="0"/>
                <w:highlight w:val="none"/>
                <w:lang w:val="en-US" w:eastAsia="zh-CN"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continue"/>
            <w:vAlign w:val="center"/>
          </w:tcPr>
          <w:p>
            <w:pPr>
              <w:widowControl/>
              <w:jc w:val="center"/>
              <w:textAlignment w:val="center"/>
              <w:rPr>
                <w:rFonts w:ascii="Arial Narrow" w:hAnsi="Arial Narrow" w:eastAsia="仿宋_GB2312" w:cs="Arial Narrow"/>
                <w:color w:val="auto"/>
                <w:kern w:val="0"/>
                <w:highlight w:val="none"/>
                <w:lang w:bidi="ar"/>
              </w:rPr>
            </w:pPr>
          </w:p>
        </w:tc>
        <w:tc>
          <w:tcPr>
            <w:tcW w:w="1324"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数量指标</w:t>
            </w:r>
          </w:p>
        </w:tc>
        <w:tc>
          <w:tcPr>
            <w:tcW w:w="2694" w:type="dxa"/>
            <w:gridSpan w:val="2"/>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《湖北政协》刊数（</w:t>
            </w:r>
            <w:r>
              <w:rPr>
                <w:rFonts w:hint="eastAsia" w:ascii="Arial Narrow" w:hAnsi="Arial Narrow" w:eastAsia="仿宋_GB2312" w:cs="Arial Narrow"/>
                <w:color w:val="auto"/>
                <w:kern w:val="0"/>
                <w:highlight w:val="none"/>
                <w:lang w:val="en-US" w:eastAsia="zh-CN" w:bidi="ar"/>
              </w:rPr>
              <w:t>2</w:t>
            </w:r>
            <w:r>
              <w:rPr>
                <w:rFonts w:ascii="Arial Narrow" w:hAnsi="Arial Narrow" w:eastAsia="仿宋_GB2312" w:cs="Arial Narrow"/>
                <w:color w:val="auto"/>
                <w:kern w:val="0"/>
                <w:highlight w:val="none"/>
                <w:lang w:bidi="ar"/>
              </w:rPr>
              <w:t>分）</w:t>
            </w:r>
          </w:p>
        </w:tc>
        <w:tc>
          <w:tcPr>
            <w:tcW w:w="1282"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12</w:t>
            </w:r>
          </w:p>
        </w:tc>
        <w:tc>
          <w:tcPr>
            <w:tcW w:w="1341"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12</w:t>
            </w:r>
          </w:p>
        </w:tc>
        <w:tc>
          <w:tcPr>
            <w:tcW w:w="878" w:type="dxa"/>
            <w:vAlign w:val="center"/>
          </w:tcPr>
          <w:p>
            <w:pPr>
              <w:widowControl/>
              <w:jc w:val="center"/>
              <w:textAlignment w:val="center"/>
              <w:rPr>
                <w:rFonts w:hint="default" w:ascii="Arial Narrow" w:hAnsi="Arial Narrow" w:eastAsia="仿宋_GB2312" w:cs="Arial Narrow"/>
                <w:color w:val="auto"/>
                <w:kern w:val="0"/>
                <w:highlight w:val="none"/>
                <w:lang w:val="en-US" w:eastAsia="zh-CN" w:bidi="ar"/>
              </w:rPr>
            </w:pPr>
            <w:r>
              <w:rPr>
                <w:rFonts w:hint="eastAsia" w:ascii="Arial Narrow" w:hAnsi="Arial Narrow" w:eastAsia="仿宋_GB2312" w:cs="Arial Narrow"/>
                <w:color w:val="auto"/>
                <w:kern w:val="0"/>
                <w:highlight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continue"/>
            <w:vAlign w:val="center"/>
          </w:tcPr>
          <w:p>
            <w:pPr>
              <w:jc w:val="center"/>
              <w:rPr>
                <w:rFonts w:ascii="Arial Narrow" w:hAnsi="Arial Narrow" w:eastAsia="仿宋_GB2312" w:cs="Arial Narrow"/>
                <w:color w:val="auto"/>
                <w:kern w:val="0"/>
                <w:highlight w:val="none"/>
              </w:rPr>
            </w:pPr>
          </w:p>
        </w:tc>
        <w:tc>
          <w:tcPr>
            <w:tcW w:w="1324"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数量指标</w:t>
            </w:r>
          </w:p>
        </w:tc>
        <w:tc>
          <w:tcPr>
            <w:tcW w:w="2694" w:type="dxa"/>
            <w:gridSpan w:val="2"/>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委员提案立案件数（2分）</w:t>
            </w:r>
          </w:p>
        </w:tc>
        <w:tc>
          <w:tcPr>
            <w:tcW w:w="1282"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665</w:t>
            </w:r>
          </w:p>
        </w:tc>
        <w:tc>
          <w:tcPr>
            <w:tcW w:w="1341"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730</w:t>
            </w:r>
          </w:p>
        </w:tc>
        <w:tc>
          <w:tcPr>
            <w:tcW w:w="878"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2</w:t>
            </w:r>
            <w:r>
              <w:rPr>
                <w:rFonts w:hint="eastAsia" w:ascii="Arial Narrow" w:hAnsi="Arial Narrow" w:eastAsia="仿宋_GB2312" w:cs="Arial Narrow"/>
                <w:color w:val="auto"/>
                <w:kern w:val="0"/>
                <w:highlight w:val="none"/>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continue"/>
            <w:vAlign w:val="center"/>
          </w:tcPr>
          <w:p>
            <w:pPr>
              <w:jc w:val="center"/>
              <w:rPr>
                <w:rFonts w:ascii="Arial Narrow" w:hAnsi="Arial Narrow" w:eastAsia="仿宋_GB2312" w:cs="Arial Narrow"/>
                <w:color w:val="auto"/>
                <w:kern w:val="0"/>
                <w:highlight w:val="none"/>
              </w:rPr>
            </w:pPr>
          </w:p>
        </w:tc>
        <w:tc>
          <w:tcPr>
            <w:tcW w:w="1324"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数量指标</w:t>
            </w:r>
          </w:p>
        </w:tc>
        <w:tc>
          <w:tcPr>
            <w:tcW w:w="2694" w:type="dxa"/>
            <w:gridSpan w:val="2"/>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委员参加学习培训的参与率（2分）</w:t>
            </w:r>
          </w:p>
        </w:tc>
        <w:tc>
          <w:tcPr>
            <w:tcW w:w="1282"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96%</w:t>
            </w:r>
          </w:p>
        </w:tc>
        <w:tc>
          <w:tcPr>
            <w:tcW w:w="1341"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100%</w:t>
            </w:r>
          </w:p>
        </w:tc>
        <w:tc>
          <w:tcPr>
            <w:tcW w:w="878"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restart"/>
            <w:vAlign w:val="center"/>
          </w:tcPr>
          <w:p>
            <w:pPr>
              <w:widowControl/>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效益指标</w:t>
            </w:r>
          </w:p>
        </w:tc>
        <w:tc>
          <w:tcPr>
            <w:tcW w:w="1324"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社会效益指标</w:t>
            </w:r>
          </w:p>
        </w:tc>
        <w:tc>
          <w:tcPr>
            <w:tcW w:w="2694" w:type="dxa"/>
            <w:gridSpan w:val="2"/>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开展界别活动对社会的影响力（</w:t>
            </w:r>
            <w:r>
              <w:rPr>
                <w:rFonts w:hint="eastAsia" w:ascii="Arial Narrow" w:hAnsi="Arial Narrow" w:eastAsia="仿宋_GB2312" w:cs="Arial Narrow"/>
                <w:color w:val="auto"/>
                <w:kern w:val="0"/>
                <w:highlight w:val="none"/>
                <w:lang w:val="en-US" w:eastAsia="zh-CN" w:bidi="ar"/>
              </w:rPr>
              <w:t>4</w:t>
            </w:r>
            <w:r>
              <w:rPr>
                <w:rFonts w:ascii="Arial Narrow" w:hAnsi="Arial Narrow" w:eastAsia="仿宋_GB2312" w:cs="Arial Narrow"/>
                <w:color w:val="auto"/>
                <w:kern w:val="0"/>
                <w:highlight w:val="none"/>
                <w:lang w:bidi="ar"/>
              </w:rPr>
              <w:t>分）</w:t>
            </w:r>
          </w:p>
        </w:tc>
        <w:tc>
          <w:tcPr>
            <w:tcW w:w="1282"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作用明显</w:t>
            </w:r>
          </w:p>
        </w:tc>
        <w:tc>
          <w:tcPr>
            <w:tcW w:w="1341"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作用明显</w:t>
            </w:r>
          </w:p>
        </w:tc>
        <w:tc>
          <w:tcPr>
            <w:tcW w:w="878" w:type="dxa"/>
            <w:vAlign w:val="center"/>
          </w:tcPr>
          <w:p>
            <w:pPr>
              <w:widowControl/>
              <w:jc w:val="center"/>
              <w:textAlignment w:val="center"/>
              <w:rPr>
                <w:rFonts w:ascii="Arial Narrow" w:hAnsi="Arial Narrow" w:eastAsia="仿宋_GB2312" w:cs="Arial Narrow"/>
                <w:color w:val="auto"/>
                <w:kern w:val="0"/>
                <w:highlight w:val="none"/>
                <w:lang w:bidi="ar"/>
              </w:rPr>
            </w:pPr>
            <w:r>
              <w:rPr>
                <w:rFonts w:hint="eastAsia" w:ascii="Arial Narrow" w:hAnsi="Arial Narrow" w:eastAsia="仿宋_GB2312" w:cs="Arial Narrow"/>
                <w:color w:val="auto"/>
                <w:kern w:val="0"/>
                <w:highlight w:val="none"/>
                <w:lang w:val="en-US" w:eastAsia="zh-CN" w:bidi="ar"/>
              </w:rPr>
              <w:t>4</w:t>
            </w:r>
            <w:r>
              <w:rPr>
                <w:rFonts w:ascii="Arial Narrow" w:hAnsi="Arial Narrow" w:eastAsia="仿宋_GB2312" w:cs="Arial Narrow"/>
                <w:color w:val="auto"/>
                <w:kern w:val="0"/>
                <w:highlight w:val="none"/>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4"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continue"/>
            <w:vAlign w:val="center"/>
          </w:tcPr>
          <w:p>
            <w:pPr>
              <w:widowControl/>
              <w:jc w:val="center"/>
              <w:textAlignment w:val="center"/>
              <w:rPr>
                <w:rFonts w:ascii="Arial Narrow" w:hAnsi="Arial Narrow" w:eastAsia="仿宋_GB2312" w:cs="Arial Narrow"/>
                <w:color w:val="auto"/>
                <w:kern w:val="0"/>
                <w:highlight w:val="none"/>
              </w:rPr>
            </w:pPr>
          </w:p>
        </w:tc>
        <w:tc>
          <w:tcPr>
            <w:tcW w:w="1324"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社会效益指标</w:t>
            </w:r>
          </w:p>
        </w:tc>
        <w:tc>
          <w:tcPr>
            <w:tcW w:w="2694" w:type="dxa"/>
            <w:gridSpan w:val="2"/>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《提案追踪》宣传效果</w:t>
            </w:r>
          </w:p>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w:t>
            </w:r>
            <w:r>
              <w:rPr>
                <w:rFonts w:hint="eastAsia" w:ascii="Arial Narrow" w:hAnsi="Arial Narrow" w:eastAsia="仿宋_GB2312" w:cs="Arial Narrow"/>
                <w:color w:val="auto"/>
                <w:kern w:val="0"/>
                <w:highlight w:val="none"/>
                <w:lang w:val="en-US" w:eastAsia="zh-CN" w:bidi="ar"/>
              </w:rPr>
              <w:t>3</w:t>
            </w:r>
            <w:r>
              <w:rPr>
                <w:rFonts w:ascii="Arial Narrow" w:hAnsi="Arial Narrow" w:eastAsia="仿宋_GB2312" w:cs="Arial Narrow"/>
                <w:color w:val="auto"/>
                <w:kern w:val="0"/>
                <w:highlight w:val="none"/>
                <w:lang w:bidi="ar"/>
              </w:rPr>
              <w:t>分）</w:t>
            </w:r>
          </w:p>
        </w:tc>
        <w:tc>
          <w:tcPr>
            <w:tcW w:w="1282"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强，覆盖全省辐射全国</w:t>
            </w:r>
          </w:p>
        </w:tc>
        <w:tc>
          <w:tcPr>
            <w:tcW w:w="1341"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强，覆盖全省辐射全国</w:t>
            </w:r>
          </w:p>
        </w:tc>
        <w:tc>
          <w:tcPr>
            <w:tcW w:w="878" w:type="dxa"/>
            <w:vAlign w:val="center"/>
          </w:tcPr>
          <w:p>
            <w:pPr>
              <w:widowControl/>
              <w:jc w:val="center"/>
              <w:textAlignment w:val="center"/>
              <w:rPr>
                <w:rFonts w:ascii="Arial Narrow" w:hAnsi="Arial Narrow" w:eastAsia="仿宋_GB2312" w:cs="Arial Narrow"/>
                <w:color w:val="auto"/>
                <w:kern w:val="0"/>
                <w:highlight w:val="none"/>
                <w:lang w:bidi="ar"/>
              </w:rPr>
            </w:pPr>
            <w:r>
              <w:rPr>
                <w:rFonts w:hint="eastAsia" w:ascii="Arial Narrow" w:hAnsi="Arial Narrow" w:eastAsia="仿宋_GB2312" w:cs="Arial Narrow"/>
                <w:color w:val="auto"/>
                <w:kern w:val="0"/>
                <w:highlight w:val="none"/>
                <w:lang w:val="en-US" w:eastAsia="zh-CN" w:bidi="ar"/>
              </w:rPr>
              <w:t>3</w:t>
            </w:r>
            <w:r>
              <w:rPr>
                <w:rFonts w:ascii="Arial Narrow" w:hAnsi="Arial Narrow" w:eastAsia="仿宋_GB2312" w:cs="Arial Narrow"/>
                <w:color w:val="auto"/>
                <w:kern w:val="0"/>
                <w:highlight w:val="none"/>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continue"/>
            <w:vAlign w:val="center"/>
          </w:tcPr>
          <w:p>
            <w:pPr>
              <w:jc w:val="center"/>
              <w:rPr>
                <w:rFonts w:ascii="Arial Narrow" w:hAnsi="Arial Narrow" w:eastAsia="仿宋_GB2312" w:cs="Arial Narrow"/>
                <w:color w:val="auto"/>
                <w:kern w:val="0"/>
                <w:highlight w:val="none"/>
              </w:rPr>
            </w:pPr>
          </w:p>
        </w:tc>
        <w:tc>
          <w:tcPr>
            <w:tcW w:w="653" w:type="dxa"/>
            <w:vMerge w:val="continue"/>
            <w:vAlign w:val="center"/>
          </w:tcPr>
          <w:p>
            <w:pPr>
              <w:widowControl/>
              <w:jc w:val="center"/>
              <w:textAlignment w:val="center"/>
              <w:rPr>
                <w:rFonts w:ascii="Arial Narrow" w:hAnsi="Arial Narrow" w:eastAsia="仿宋_GB2312" w:cs="Arial Narrow"/>
                <w:color w:val="auto"/>
                <w:kern w:val="0"/>
                <w:highlight w:val="none"/>
              </w:rPr>
            </w:pPr>
          </w:p>
        </w:tc>
        <w:tc>
          <w:tcPr>
            <w:tcW w:w="1324"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可持续影响指标</w:t>
            </w:r>
          </w:p>
        </w:tc>
        <w:tc>
          <w:tcPr>
            <w:tcW w:w="2694" w:type="dxa"/>
            <w:gridSpan w:val="2"/>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委员学习培训对提升履职水平的作用（</w:t>
            </w:r>
            <w:r>
              <w:rPr>
                <w:rFonts w:hint="eastAsia" w:ascii="Arial Narrow" w:hAnsi="Arial Narrow" w:eastAsia="仿宋_GB2312" w:cs="Arial Narrow"/>
                <w:color w:val="auto"/>
                <w:kern w:val="0"/>
                <w:highlight w:val="none"/>
                <w:lang w:val="en-US" w:eastAsia="zh-CN" w:bidi="ar"/>
              </w:rPr>
              <w:t>3</w:t>
            </w:r>
            <w:r>
              <w:rPr>
                <w:rFonts w:ascii="Arial Narrow" w:hAnsi="Arial Narrow" w:eastAsia="仿宋_GB2312" w:cs="Arial Narrow"/>
                <w:color w:val="auto"/>
                <w:kern w:val="0"/>
                <w:highlight w:val="none"/>
                <w:lang w:bidi="ar"/>
              </w:rPr>
              <w:t>分）</w:t>
            </w:r>
          </w:p>
        </w:tc>
        <w:tc>
          <w:tcPr>
            <w:tcW w:w="1282"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效果显著</w:t>
            </w:r>
          </w:p>
        </w:tc>
        <w:tc>
          <w:tcPr>
            <w:tcW w:w="1341" w:type="dxa"/>
            <w:vAlign w:val="center"/>
          </w:tcPr>
          <w:p>
            <w:pPr>
              <w:widowControl/>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效果显著</w:t>
            </w:r>
          </w:p>
        </w:tc>
        <w:tc>
          <w:tcPr>
            <w:tcW w:w="878" w:type="dxa"/>
            <w:vAlign w:val="center"/>
          </w:tcPr>
          <w:p>
            <w:pPr>
              <w:widowControl/>
              <w:jc w:val="center"/>
              <w:textAlignment w:val="center"/>
              <w:rPr>
                <w:rFonts w:ascii="Arial Narrow" w:hAnsi="Arial Narrow" w:eastAsia="仿宋_GB2312" w:cs="Arial Narrow"/>
                <w:color w:val="auto"/>
                <w:kern w:val="0"/>
                <w:highlight w:val="none"/>
                <w:lang w:bidi="ar"/>
              </w:rPr>
            </w:pPr>
            <w:r>
              <w:rPr>
                <w:rFonts w:hint="eastAsia" w:ascii="Arial Narrow" w:hAnsi="Arial Narrow" w:eastAsia="仿宋_GB2312" w:cs="Arial Narrow"/>
                <w:color w:val="auto"/>
                <w:kern w:val="0"/>
                <w:highlight w:val="none"/>
                <w:lang w:val="en-US" w:eastAsia="zh-CN" w:bidi="ar"/>
              </w:rPr>
              <w:t>3</w:t>
            </w:r>
            <w:r>
              <w:rPr>
                <w:rFonts w:ascii="Arial Narrow" w:hAnsi="Arial Narrow" w:eastAsia="仿宋_GB2312" w:cs="Arial Narrow"/>
                <w:color w:val="auto"/>
                <w:kern w:val="0"/>
                <w:highlight w:val="none"/>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2" w:hRule="atLeast"/>
          <w:jc w:val="center"/>
        </w:trPr>
        <w:tc>
          <w:tcPr>
            <w:tcW w:w="1429" w:type="dxa"/>
            <w:gridSpan w:val="2"/>
            <w:vAlign w:val="center"/>
          </w:tcPr>
          <w:p>
            <w:pPr>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年度绩效目标4：（</w:t>
            </w:r>
            <w:r>
              <w:rPr>
                <w:rFonts w:hint="eastAsia" w:ascii="Arial Narrow" w:hAnsi="Arial Narrow" w:eastAsia="仿宋_GB2312" w:cs="Arial Narrow"/>
                <w:color w:val="auto"/>
                <w:kern w:val="0"/>
                <w:highlight w:val="none"/>
              </w:rPr>
              <w:t>2</w:t>
            </w:r>
            <w:r>
              <w:rPr>
                <w:rFonts w:hint="eastAsia" w:ascii="Arial Narrow" w:hAnsi="Arial Narrow" w:eastAsia="仿宋_GB2312" w:cs="Arial Narrow"/>
                <w:color w:val="auto"/>
                <w:kern w:val="0"/>
                <w:highlight w:val="none"/>
                <w:lang w:val="en-US" w:eastAsia="zh-CN"/>
              </w:rPr>
              <w:t>6</w:t>
            </w:r>
            <w:r>
              <w:rPr>
                <w:rFonts w:hint="eastAsia" w:ascii="Arial Narrow" w:hAnsi="Arial Narrow" w:eastAsia="仿宋_GB2312" w:cs="Arial Narrow"/>
                <w:color w:val="auto"/>
                <w:kern w:val="0"/>
                <w:highlight w:val="none"/>
              </w:rPr>
              <w:t>.5</w:t>
            </w:r>
            <w:r>
              <w:rPr>
                <w:rFonts w:ascii="Arial Narrow" w:hAnsi="Arial Narrow" w:eastAsia="仿宋_GB2312" w:cs="Arial Narrow"/>
                <w:color w:val="auto"/>
                <w:kern w:val="0"/>
                <w:highlight w:val="none"/>
              </w:rPr>
              <w:t>分）</w:t>
            </w:r>
          </w:p>
        </w:tc>
        <w:tc>
          <w:tcPr>
            <w:tcW w:w="7519" w:type="dxa"/>
            <w:gridSpan w:val="6"/>
            <w:vAlign w:val="center"/>
          </w:tcPr>
          <w:p>
            <w:pPr>
              <w:jc w:val="left"/>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通过机关日常保障，提供良好的办公条件。按省委省政府有关文件精神，机关党委、创建及保密工作等各项活动应列专项活动经费，编入各单位部门预算。省政协接待工作是一项接触面广、政治性强的工作，是机关联系各方面的纽带和反映机关“两个文明”建设的窗口，是宣传湖北的有效方式，省政协按照党政机关有关国内接待方面的文件规定，做好全国政协和兄弟省市政协赴鄂视察、调研、考察的接待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restart"/>
            <w:vAlign w:val="center"/>
          </w:tcPr>
          <w:p>
            <w:pPr>
              <w:spacing w:line="240" w:lineRule="auto"/>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年度绩效指标</w:t>
            </w:r>
          </w:p>
        </w:tc>
        <w:tc>
          <w:tcPr>
            <w:tcW w:w="653" w:type="dxa"/>
            <w:vAlign w:val="center"/>
          </w:tcPr>
          <w:p>
            <w:pPr>
              <w:spacing w:line="240" w:lineRule="auto"/>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一级指标</w:t>
            </w:r>
          </w:p>
        </w:tc>
        <w:tc>
          <w:tcPr>
            <w:tcW w:w="1324" w:type="dxa"/>
            <w:vAlign w:val="center"/>
          </w:tcPr>
          <w:p>
            <w:pPr>
              <w:widowControl/>
              <w:spacing w:line="240" w:lineRule="auto"/>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二级指标</w:t>
            </w:r>
          </w:p>
        </w:tc>
        <w:tc>
          <w:tcPr>
            <w:tcW w:w="2694" w:type="dxa"/>
            <w:gridSpan w:val="2"/>
            <w:vAlign w:val="center"/>
          </w:tcPr>
          <w:p>
            <w:pPr>
              <w:widowControl/>
              <w:spacing w:line="240" w:lineRule="auto"/>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三级指标</w:t>
            </w:r>
          </w:p>
        </w:tc>
        <w:tc>
          <w:tcPr>
            <w:tcW w:w="1282" w:type="dxa"/>
            <w:vAlign w:val="center"/>
          </w:tcPr>
          <w:p>
            <w:pPr>
              <w:widowControl/>
              <w:spacing w:line="240" w:lineRule="auto"/>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年初目标值（A）</w:t>
            </w:r>
          </w:p>
        </w:tc>
        <w:tc>
          <w:tcPr>
            <w:tcW w:w="1341" w:type="dxa"/>
            <w:vAlign w:val="center"/>
          </w:tcPr>
          <w:p>
            <w:pPr>
              <w:widowControl/>
              <w:spacing w:line="240" w:lineRule="auto"/>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实际完成值（B）</w:t>
            </w:r>
          </w:p>
        </w:tc>
        <w:tc>
          <w:tcPr>
            <w:tcW w:w="878" w:type="dxa"/>
            <w:vAlign w:val="center"/>
          </w:tcPr>
          <w:p>
            <w:pPr>
              <w:widowControl/>
              <w:spacing w:line="240" w:lineRule="auto"/>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spacing w:line="240" w:lineRule="auto"/>
              <w:jc w:val="center"/>
              <w:rPr>
                <w:rFonts w:ascii="Arial Narrow" w:hAnsi="Arial Narrow" w:eastAsia="仿宋_GB2312" w:cs="Arial Narrow"/>
                <w:color w:val="auto"/>
                <w:kern w:val="0"/>
                <w:highlight w:val="none"/>
              </w:rPr>
            </w:pPr>
          </w:p>
        </w:tc>
        <w:tc>
          <w:tcPr>
            <w:tcW w:w="653" w:type="dxa"/>
            <w:vMerge w:val="restart"/>
            <w:vAlign w:val="center"/>
          </w:tcPr>
          <w:p>
            <w:pPr>
              <w:widowControl/>
              <w:spacing w:line="240" w:lineRule="auto"/>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产出指标</w:t>
            </w:r>
          </w:p>
        </w:tc>
        <w:tc>
          <w:tcPr>
            <w:tcW w:w="1324"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数量指标</w:t>
            </w:r>
          </w:p>
        </w:tc>
        <w:tc>
          <w:tcPr>
            <w:tcW w:w="2694" w:type="dxa"/>
            <w:gridSpan w:val="2"/>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接待港澳台侨各界、海外华人华侨、外国访问团来鄂考察访问活动次数（</w:t>
            </w:r>
            <w:r>
              <w:rPr>
                <w:rFonts w:hint="eastAsia" w:ascii="Arial Narrow" w:hAnsi="Arial Narrow" w:eastAsia="仿宋_GB2312" w:cs="Arial Narrow"/>
                <w:color w:val="auto"/>
                <w:kern w:val="0"/>
                <w:highlight w:val="none"/>
                <w:lang w:val="en-US" w:eastAsia="zh-CN" w:bidi="ar"/>
              </w:rPr>
              <w:t>2</w:t>
            </w:r>
            <w:r>
              <w:rPr>
                <w:rFonts w:ascii="Arial Narrow" w:hAnsi="Arial Narrow" w:eastAsia="仿宋_GB2312" w:cs="Arial Narrow"/>
                <w:color w:val="auto"/>
                <w:kern w:val="0"/>
                <w:highlight w:val="none"/>
                <w:lang w:bidi="ar"/>
              </w:rPr>
              <w:t>分）</w:t>
            </w:r>
          </w:p>
        </w:tc>
        <w:tc>
          <w:tcPr>
            <w:tcW w:w="1282"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7批次</w:t>
            </w:r>
          </w:p>
        </w:tc>
        <w:tc>
          <w:tcPr>
            <w:tcW w:w="1341"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6批次</w:t>
            </w:r>
          </w:p>
        </w:tc>
        <w:tc>
          <w:tcPr>
            <w:tcW w:w="878" w:type="dxa"/>
            <w:vAlign w:val="center"/>
          </w:tcPr>
          <w:p>
            <w:pPr>
              <w:widowControl/>
              <w:spacing w:line="240" w:lineRule="auto"/>
              <w:jc w:val="center"/>
              <w:textAlignment w:val="center"/>
              <w:rPr>
                <w:rFonts w:hint="default" w:ascii="Arial Narrow" w:hAnsi="Arial Narrow" w:eastAsia="仿宋_GB2312" w:cs="Arial Narrow"/>
                <w:color w:val="auto"/>
                <w:kern w:val="0"/>
                <w:highlight w:val="none"/>
                <w:lang w:val="en-US" w:eastAsia="zh-CN" w:bidi="ar"/>
              </w:rPr>
            </w:pPr>
            <w:r>
              <w:rPr>
                <w:rFonts w:hint="eastAsia" w:ascii="Arial Narrow" w:hAnsi="Arial Narrow" w:eastAsia="仿宋_GB2312" w:cs="Arial Narrow"/>
                <w:color w:val="auto"/>
                <w:kern w:val="0"/>
                <w:highlight w:val="none"/>
                <w:lang w:val="en-US" w:eastAsia="zh-CN" w:bidi="ar"/>
              </w:rPr>
              <w:t>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80" w:hRule="atLeast"/>
          <w:jc w:val="center"/>
        </w:trPr>
        <w:tc>
          <w:tcPr>
            <w:tcW w:w="776" w:type="dxa"/>
            <w:vMerge w:val="continue"/>
            <w:vAlign w:val="center"/>
          </w:tcPr>
          <w:p>
            <w:pPr>
              <w:spacing w:line="240" w:lineRule="auto"/>
              <w:jc w:val="center"/>
              <w:rPr>
                <w:rFonts w:ascii="Arial Narrow" w:hAnsi="Arial Narrow" w:eastAsia="仿宋_GB2312" w:cs="Arial Narrow"/>
                <w:color w:val="auto"/>
                <w:kern w:val="0"/>
                <w:highlight w:val="none"/>
              </w:rPr>
            </w:pPr>
          </w:p>
        </w:tc>
        <w:tc>
          <w:tcPr>
            <w:tcW w:w="653" w:type="dxa"/>
            <w:vMerge w:val="continue"/>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p>
        </w:tc>
        <w:tc>
          <w:tcPr>
            <w:tcW w:w="1324"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数量指标</w:t>
            </w:r>
          </w:p>
        </w:tc>
        <w:tc>
          <w:tcPr>
            <w:tcW w:w="2694" w:type="dxa"/>
            <w:gridSpan w:val="2"/>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兄弟省市领导考察、调研接待次数（</w:t>
            </w:r>
            <w:r>
              <w:rPr>
                <w:rFonts w:hint="eastAsia" w:ascii="Arial Narrow" w:hAnsi="Arial Narrow" w:eastAsia="仿宋_GB2312" w:cs="Arial Narrow"/>
                <w:color w:val="auto"/>
                <w:kern w:val="0"/>
                <w:highlight w:val="none"/>
                <w:lang w:val="en-US" w:eastAsia="zh-CN" w:bidi="ar"/>
              </w:rPr>
              <w:t>2</w:t>
            </w:r>
            <w:r>
              <w:rPr>
                <w:rFonts w:ascii="Arial Narrow" w:hAnsi="Arial Narrow" w:eastAsia="仿宋_GB2312" w:cs="Arial Narrow"/>
                <w:color w:val="auto"/>
                <w:kern w:val="0"/>
                <w:highlight w:val="none"/>
                <w:lang w:bidi="ar"/>
              </w:rPr>
              <w:t>分）</w:t>
            </w:r>
          </w:p>
        </w:tc>
        <w:tc>
          <w:tcPr>
            <w:tcW w:w="1282"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22批</w:t>
            </w:r>
          </w:p>
        </w:tc>
        <w:tc>
          <w:tcPr>
            <w:tcW w:w="1341" w:type="dxa"/>
            <w:vAlign w:val="center"/>
          </w:tcPr>
          <w:p>
            <w:pPr>
              <w:spacing w:line="240" w:lineRule="auto"/>
              <w:jc w:val="center"/>
              <w:rPr>
                <w:rFonts w:ascii="Arial Narrow" w:hAnsi="Arial Narrow" w:eastAsia="仿宋_GB2312" w:cs="Arial Narrow"/>
                <w:color w:val="auto"/>
                <w:kern w:val="0"/>
                <w:highlight w:val="none"/>
                <w:lang w:bidi="ar"/>
              </w:rPr>
            </w:pPr>
            <w:r>
              <w:rPr>
                <w:rFonts w:hint="eastAsia" w:ascii="Arial Narrow" w:hAnsi="Arial Narrow" w:eastAsia="仿宋_GB2312" w:cs="Arial Narrow"/>
                <w:color w:val="auto"/>
                <w:kern w:val="0"/>
                <w:highlight w:val="none"/>
                <w:lang w:bidi="ar"/>
              </w:rPr>
              <w:t>12批</w:t>
            </w:r>
          </w:p>
        </w:tc>
        <w:tc>
          <w:tcPr>
            <w:tcW w:w="878" w:type="dxa"/>
            <w:vAlign w:val="center"/>
          </w:tcPr>
          <w:p>
            <w:pPr>
              <w:widowControl/>
              <w:spacing w:line="240" w:lineRule="auto"/>
              <w:jc w:val="center"/>
              <w:textAlignment w:val="center"/>
              <w:rPr>
                <w:rFonts w:hint="default" w:ascii="Arial Narrow" w:hAnsi="Arial Narrow" w:eastAsia="仿宋_GB2312" w:cs="Arial Narrow"/>
                <w:color w:val="auto"/>
                <w:kern w:val="0"/>
                <w:highlight w:val="none"/>
                <w:lang w:val="en-US" w:eastAsia="zh-CN" w:bidi="ar"/>
              </w:rPr>
            </w:pPr>
            <w:r>
              <w:rPr>
                <w:rFonts w:hint="eastAsia" w:ascii="Arial Narrow" w:hAnsi="Arial Narrow" w:eastAsia="仿宋_GB2312" w:cs="Arial Narrow"/>
                <w:color w:val="auto"/>
                <w:kern w:val="0"/>
                <w:highlight w:val="none"/>
                <w:lang w:val="en-US" w:eastAsia="zh-CN" w:bidi="ar"/>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spacing w:line="240" w:lineRule="auto"/>
              <w:jc w:val="center"/>
              <w:rPr>
                <w:rFonts w:ascii="Arial Narrow" w:hAnsi="Arial Narrow" w:eastAsia="仿宋_GB2312" w:cs="Arial Narrow"/>
                <w:color w:val="auto"/>
                <w:kern w:val="0"/>
                <w:highlight w:val="none"/>
              </w:rPr>
            </w:pPr>
          </w:p>
        </w:tc>
        <w:tc>
          <w:tcPr>
            <w:tcW w:w="653" w:type="dxa"/>
            <w:vMerge w:val="continue"/>
            <w:vAlign w:val="center"/>
          </w:tcPr>
          <w:p>
            <w:pPr>
              <w:spacing w:line="240" w:lineRule="auto"/>
              <w:jc w:val="center"/>
              <w:rPr>
                <w:rFonts w:ascii="Arial Narrow" w:hAnsi="Arial Narrow" w:eastAsia="仿宋_GB2312" w:cs="Arial Narrow"/>
                <w:color w:val="auto"/>
                <w:kern w:val="0"/>
                <w:highlight w:val="none"/>
              </w:rPr>
            </w:pPr>
          </w:p>
        </w:tc>
        <w:tc>
          <w:tcPr>
            <w:tcW w:w="1324"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数量指标</w:t>
            </w:r>
          </w:p>
        </w:tc>
        <w:tc>
          <w:tcPr>
            <w:tcW w:w="2694" w:type="dxa"/>
            <w:gridSpan w:val="2"/>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国家领导人视察调研接待次数（</w:t>
            </w:r>
            <w:r>
              <w:rPr>
                <w:rFonts w:hint="eastAsia" w:ascii="Arial Narrow" w:hAnsi="Arial Narrow" w:eastAsia="仿宋_GB2312" w:cs="Arial Narrow"/>
                <w:color w:val="auto"/>
                <w:kern w:val="0"/>
                <w:highlight w:val="none"/>
                <w:lang w:val="en-US" w:eastAsia="zh-CN" w:bidi="ar"/>
              </w:rPr>
              <w:t>2</w:t>
            </w:r>
            <w:r>
              <w:rPr>
                <w:rFonts w:ascii="Arial Narrow" w:hAnsi="Arial Narrow" w:eastAsia="仿宋_GB2312" w:cs="Arial Narrow"/>
                <w:color w:val="auto"/>
                <w:kern w:val="0"/>
                <w:highlight w:val="none"/>
                <w:lang w:bidi="ar"/>
              </w:rPr>
              <w:t>分）</w:t>
            </w:r>
          </w:p>
        </w:tc>
        <w:tc>
          <w:tcPr>
            <w:tcW w:w="1282"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15批</w:t>
            </w:r>
          </w:p>
        </w:tc>
        <w:tc>
          <w:tcPr>
            <w:tcW w:w="1341" w:type="dxa"/>
            <w:vAlign w:val="center"/>
          </w:tcPr>
          <w:p>
            <w:pPr>
              <w:spacing w:line="240" w:lineRule="auto"/>
              <w:jc w:val="center"/>
              <w:rPr>
                <w:rFonts w:ascii="Arial Narrow" w:hAnsi="Arial Narrow" w:eastAsia="仿宋_GB2312" w:cs="Arial Narrow"/>
                <w:color w:val="auto"/>
                <w:kern w:val="0"/>
                <w:highlight w:val="none"/>
                <w:lang w:bidi="ar"/>
              </w:rPr>
            </w:pPr>
            <w:r>
              <w:rPr>
                <w:rFonts w:hint="eastAsia" w:ascii="Arial Narrow" w:hAnsi="Arial Narrow" w:eastAsia="仿宋_GB2312" w:cs="Arial Narrow"/>
                <w:color w:val="auto"/>
                <w:kern w:val="0"/>
                <w:highlight w:val="none"/>
                <w:lang w:bidi="ar"/>
              </w:rPr>
              <w:t>9批</w:t>
            </w:r>
          </w:p>
        </w:tc>
        <w:tc>
          <w:tcPr>
            <w:tcW w:w="878" w:type="dxa"/>
            <w:vAlign w:val="center"/>
          </w:tcPr>
          <w:p>
            <w:pPr>
              <w:widowControl/>
              <w:spacing w:line="240" w:lineRule="auto"/>
              <w:jc w:val="center"/>
              <w:textAlignment w:val="center"/>
              <w:rPr>
                <w:rFonts w:hint="default" w:ascii="Arial Narrow" w:hAnsi="Arial Narrow" w:eastAsia="仿宋_GB2312" w:cs="Arial Narrow"/>
                <w:color w:val="auto"/>
                <w:kern w:val="0"/>
                <w:highlight w:val="none"/>
                <w:lang w:val="en-US" w:eastAsia="zh-CN" w:bidi="ar"/>
              </w:rPr>
            </w:pPr>
            <w:r>
              <w:rPr>
                <w:rFonts w:hint="eastAsia" w:ascii="Arial Narrow" w:hAnsi="Arial Narrow" w:eastAsia="仿宋_GB2312" w:cs="Arial Narrow"/>
                <w:color w:val="auto"/>
                <w:kern w:val="0"/>
                <w:highlight w:val="none"/>
                <w:lang w:val="en-US" w:eastAsia="zh-CN"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spacing w:line="240" w:lineRule="auto"/>
              <w:jc w:val="center"/>
              <w:rPr>
                <w:rFonts w:ascii="Arial Narrow" w:hAnsi="Arial Narrow" w:eastAsia="仿宋_GB2312" w:cs="Arial Narrow"/>
                <w:color w:val="auto"/>
                <w:kern w:val="0"/>
                <w:highlight w:val="none"/>
              </w:rPr>
            </w:pPr>
          </w:p>
        </w:tc>
        <w:tc>
          <w:tcPr>
            <w:tcW w:w="653" w:type="dxa"/>
            <w:vMerge w:val="continue"/>
            <w:vAlign w:val="center"/>
          </w:tcPr>
          <w:p>
            <w:pPr>
              <w:spacing w:line="240" w:lineRule="auto"/>
              <w:jc w:val="center"/>
              <w:rPr>
                <w:rFonts w:ascii="Arial Narrow" w:hAnsi="Arial Narrow" w:eastAsia="仿宋_GB2312" w:cs="Arial Narrow"/>
                <w:color w:val="auto"/>
                <w:kern w:val="0"/>
                <w:highlight w:val="none"/>
              </w:rPr>
            </w:pPr>
          </w:p>
        </w:tc>
        <w:tc>
          <w:tcPr>
            <w:tcW w:w="1324"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数量指标</w:t>
            </w:r>
          </w:p>
        </w:tc>
        <w:tc>
          <w:tcPr>
            <w:tcW w:w="2694" w:type="dxa"/>
            <w:gridSpan w:val="2"/>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国家机关（副）部级领导考察、调研接待次数（</w:t>
            </w:r>
            <w:r>
              <w:rPr>
                <w:rFonts w:hint="eastAsia" w:ascii="Arial Narrow" w:hAnsi="Arial Narrow" w:eastAsia="仿宋_GB2312" w:cs="Arial Narrow"/>
                <w:color w:val="auto"/>
                <w:kern w:val="0"/>
                <w:highlight w:val="none"/>
                <w:lang w:val="en-US" w:eastAsia="zh-CN" w:bidi="ar"/>
              </w:rPr>
              <w:t>1.5</w:t>
            </w:r>
            <w:r>
              <w:rPr>
                <w:rFonts w:ascii="Arial Narrow" w:hAnsi="Arial Narrow" w:eastAsia="仿宋_GB2312" w:cs="Arial Narrow"/>
                <w:color w:val="auto"/>
                <w:kern w:val="0"/>
                <w:highlight w:val="none"/>
                <w:lang w:bidi="ar"/>
              </w:rPr>
              <w:t>分）</w:t>
            </w:r>
          </w:p>
        </w:tc>
        <w:tc>
          <w:tcPr>
            <w:tcW w:w="1282"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16批</w:t>
            </w:r>
          </w:p>
        </w:tc>
        <w:tc>
          <w:tcPr>
            <w:tcW w:w="1341" w:type="dxa"/>
            <w:vAlign w:val="center"/>
          </w:tcPr>
          <w:p>
            <w:pPr>
              <w:spacing w:line="240" w:lineRule="auto"/>
              <w:jc w:val="center"/>
              <w:rPr>
                <w:rFonts w:ascii="Arial Narrow" w:hAnsi="Arial Narrow" w:eastAsia="仿宋_GB2312" w:cs="Arial Narrow"/>
                <w:color w:val="auto"/>
                <w:kern w:val="0"/>
                <w:highlight w:val="none"/>
                <w:lang w:bidi="ar"/>
              </w:rPr>
            </w:pPr>
            <w:r>
              <w:rPr>
                <w:rFonts w:hint="eastAsia" w:ascii="Arial Narrow" w:hAnsi="Arial Narrow" w:eastAsia="仿宋_GB2312" w:cs="Arial Narrow"/>
                <w:color w:val="auto"/>
                <w:kern w:val="0"/>
                <w:highlight w:val="none"/>
                <w:lang w:bidi="ar"/>
              </w:rPr>
              <w:t>9批</w:t>
            </w:r>
          </w:p>
        </w:tc>
        <w:tc>
          <w:tcPr>
            <w:tcW w:w="878" w:type="dxa"/>
            <w:vAlign w:val="center"/>
          </w:tcPr>
          <w:p>
            <w:pPr>
              <w:widowControl/>
              <w:spacing w:line="240" w:lineRule="auto"/>
              <w:jc w:val="center"/>
              <w:textAlignment w:val="center"/>
              <w:rPr>
                <w:rFonts w:hint="default" w:ascii="Arial Narrow" w:hAnsi="Arial Narrow" w:eastAsia="仿宋_GB2312" w:cs="Arial Narrow"/>
                <w:color w:val="auto"/>
                <w:kern w:val="0"/>
                <w:highlight w:val="none"/>
                <w:lang w:val="en-US" w:eastAsia="zh-CN" w:bidi="ar"/>
              </w:rPr>
            </w:pPr>
            <w:r>
              <w:rPr>
                <w:rFonts w:hint="eastAsia" w:ascii="Arial Narrow" w:hAnsi="Arial Narrow" w:eastAsia="仿宋_GB2312" w:cs="Arial Narrow"/>
                <w:color w:val="auto"/>
                <w:kern w:val="0"/>
                <w:highlight w:val="none"/>
                <w:lang w:val="en-US" w:eastAsia="zh-CN" w:bidi="ar"/>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spacing w:line="240" w:lineRule="auto"/>
              <w:jc w:val="center"/>
              <w:rPr>
                <w:rFonts w:ascii="Arial Narrow" w:hAnsi="Arial Narrow" w:eastAsia="仿宋_GB2312" w:cs="Arial Narrow"/>
                <w:color w:val="auto"/>
                <w:kern w:val="0"/>
                <w:highlight w:val="none"/>
              </w:rPr>
            </w:pPr>
          </w:p>
        </w:tc>
        <w:tc>
          <w:tcPr>
            <w:tcW w:w="653" w:type="dxa"/>
            <w:vMerge w:val="continue"/>
            <w:vAlign w:val="center"/>
          </w:tcPr>
          <w:p>
            <w:pPr>
              <w:spacing w:line="240" w:lineRule="auto"/>
              <w:jc w:val="center"/>
              <w:rPr>
                <w:rFonts w:ascii="Arial Narrow" w:hAnsi="Arial Narrow" w:eastAsia="仿宋_GB2312" w:cs="Arial Narrow"/>
                <w:color w:val="auto"/>
                <w:kern w:val="0"/>
                <w:highlight w:val="none"/>
              </w:rPr>
            </w:pPr>
          </w:p>
        </w:tc>
        <w:tc>
          <w:tcPr>
            <w:tcW w:w="1324"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数量指标</w:t>
            </w:r>
          </w:p>
        </w:tc>
        <w:tc>
          <w:tcPr>
            <w:tcW w:w="2694" w:type="dxa"/>
            <w:gridSpan w:val="2"/>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政协门户网站日均访问量（</w:t>
            </w:r>
            <w:r>
              <w:rPr>
                <w:rFonts w:hint="eastAsia" w:ascii="Arial Narrow" w:hAnsi="Arial Narrow" w:eastAsia="仿宋_GB2312" w:cs="Arial Narrow"/>
                <w:color w:val="auto"/>
                <w:kern w:val="0"/>
                <w:highlight w:val="none"/>
                <w:lang w:bidi="ar"/>
              </w:rPr>
              <w:t>2</w:t>
            </w:r>
            <w:r>
              <w:rPr>
                <w:rFonts w:ascii="Arial Narrow" w:hAnsi="Arial Narrow" w:eastAsia="仿宋_GB2312" w:cs="Arial Narrow"/>
                <w:color w:val="auto"/>
                <w:kern w:val="0"/>
                <w:highlight w:val="none"/>
                <w:lang w:bidi="ar"/>
              </w:rPr>
              <w:t>分）</w:t>
            </w:r>
          </w:p>
        </w:tc>
        <w:tc>
          <w:tcPr>
            <w:tcW w:w="1282"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750</w:t>
            </w:r>
            <w:r>
              <w:rPr>
                <w:rFonts w:hint="eastAsia" w:ascii="Arial Narrow" w:hAnsi="Arial Narrow" w:eastAsia="仿宋_GB2312" w:cs="Arial Narrow"/>
                <w:color w:val="auto"/>
                <w:kern w:val="0"/>
                <w:highlight w:val="none"/>
                <w:lang w:bidi="ar"/>
              </w:rPr>
              <w:t>次</w:t>
            </w:r>
          </w:p>
        </w:tc>
        <w:tc>
          <w:tcPr>
            <w:tcW w:w="1341"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&gt;2000</w:t>
            </w:r>
            <w:r>
              <w:rPr>
                <w:rFonts w:hint="eastAsia" w:ascii="Arial Narrow" w:hAnsi="Arial Narrow" w:eastAsia="仿宋_GB2312" w:cs="Arial Narrow"/>
                <w:color w:val="auto"/>
                <w:kern w:val="0"/>
                <w:highlight w:val="none"/>
                <w:lang w:bidi="ar"/>
              </w:rPr>
              <w:t>次</w:t>
            </w:r>
          </w:p>
        </w:tc>
        <w:tc>
          <w:tcPr>
            <w:tcW w:w="878"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hint="eastAsia" w:ascii="Arial Narrow" w:hAnsi="Arial Narrow" w:eastAsia="仿宋_GB2312" w:cs="Arial Narrow"/>
                <w:color w:val="auto"/>
                <w:kern w:val="0"/>
                <w:highlight w:val="none"/>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spacing w:line="240" w:lineRule="auto"/>
              <w:jc w:val="center"/>
              <w:rPr>
                <w:rFonts w:ascii="Arial Narrow" w:hAnsi="Arial Narrow" w:eastAsia="仿宋_GB2312" w:cs="Arial Narrow"/>
                <w:color w:val="auto"/>
                <w:kern w:val="0"/>
                <w:highlight w:val="none"/>
              </w:rPr>
            </w:pPr>
          </w:p>
        </w:tc>
        <w:tc>
          <w:tcPr>
            <w:tcW w:w="653" w:type="dxa"/>
            <w:vMerge w:val="continue"/>
            <w:vAlign w:val="center"/>
          </w:tcPr>
          <w:p>
            <w:pPr>
              <w:spacing w:line="240" w:lineRule="auto"/>
              <w:jc w:val="center"/>
              <w:rPr>
                <w:rFonts w:ascii="Arial Narrow" w:hAnsi="Arial Narrow" w:eastAsia="仿宋_GB2312" w:cs="Arial Narrow"/>
                <w:color w:val="auto"/>
                <w:kern w:val="0"/>
                <w:highlight w:val="none"/>
              </w:rPr>
            </w:pPr>
          </w:p>
        </w:tc>
        <w:tc>
          <w:tcPr>
            <w:tcW w:w="1324"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质量指标</w:t>
            </w:r>
          </w:p>
        </w:tc>
        <w:tc>
          <w:tcPr>
            <w:tcW w:w="2694" w:type="dxa"/>
            <w:gridSpan w:val="2"/>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机关信息化建设水平自评分（2分）</w:t>
            </w:r>
          </w:p>
        </w:tc>
        <w:tc>
          <w:tcPr>
            <w:tcW w:w="1282"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90</w:t>
            </w:r>
            <w:r>
              <w:rPr>
                <w:rFonts w:hint="eastAsia" w:ascii="Arial Narrow" w:hAnsi="Arial Narrow" w:eastAsia="仿宋_GB2312" w:cs="Arial Narrow"/>
                <w:color w:val="auto"/>
                <w:kern w:val="0"/>
                <w:highlight w:val="none"/>
                <w:lang w:bidi="ar"/>
              </w:rPr>
              <w:t>分</w:t>
            </w:r>
          </w:p>
        </w:tc>
        <w:tc>
          <w:tcPr>
            <w:tcW w:w="1341" w:type="dxa"/>
            <w:vAlign w:val="center"/>
          </w:tcPr>
          <w:p>
            <w:pPr>
              <w:spacing w:line="240" w:lineRule="auto"/>
              <w:jc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90</w:t>
            </w:r>
            <w:r>
              <w:rPr>
                <w:rFonts w:hint="eastAsia" w:ascii="Arial Narrow" w:hAnsi="Arial Narrow" w:eastAsia="仿宋_GB2312" w:cs="Arial Narrow"/>
                <w:color w:val="auto"/>
                <w:kern w:val="0"/>
                <w:highlight w:val="none"/>
                <w:lang w:bidi="ar"/>
              </w:rPr>
              <w:t>分</w:t>
            </w:r>
          </w:p>
        </w:tc>
        <w:tc>
          <w:tcPr>
            <w:tcW w:w="878"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80" w:hRule="atLeast"/>
          <w:jc w:val="center"/>
        </w:trPr>
        <w:tc>
          <w:tcPr>
            <w:tcW w:w="776" w:type="dxa"/>
            <w:vMerge w:val="continue"/>
            <w:vAlign w:val="center"/>
          </w:tcPr>
          <w:p>
            <w:pPr>
              <w:spacing w:line="240" w:lineRule="auto"/>
              <w:jc w:val="center"/>
              <w:rPr>
                <w:rFonts w:ascii="Arial Narrow" w:hAnsi="Arial Narrow" w:eastAsia="仿宋_GB2312" w:cs="Arial Narrow"/>
                <w:color w:val="auto"/>
                <w:kern w:val="0"/>
                <w:highlight w:val="none"/>
              </w:rPr>
            </w:pPr>
          </w:p>
        </w:tc>
        <w:tc>
          <w:tcPr>
            <w:tcW w:w="653" w:type="dxa"/>
            <w:vMerge w:val="continue"/>
            <w:vAlign w:val="center"/>
          </w:tcPr>
          <w:p>
            <w:pPr>
              <w:spacing w:line="240" w:lineRule="auto"/>
              <w:jc w:val="center"/>
              <w:rPr>
                <w:rFonts w:ascii="Arial Narrow" w:hAnsi="Arial Narrow" w:eastAsia="仿宋_GB2312" w:cs="Arial Narrow"/>
                <w:color w:val="auto"/>
                <w:kern w:val="0"/>
                <w:highlight w:val="none"/>
              </w:rPr>
            </w:pPr>
          </w:p>
        </w:tc>
        <w:tc>
          <w:tcPr>
            <w:tcW w:w="1324"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质量指标</w:t>
            </w:r>
          </w:p>
        </w:tc>
        <w:tc>
          <w:tcPr>
            <w:tcW w:w="2694" w:type="dxa"/>
            <w:gridSpan w:val="2"/>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机关日常事务管理平台工作效果（2分）</w:t>
            </w:r>
          </w:p>
        </w:tc>
        <w:tc>
          <w:tcPr>
            <w:tcW w:w="1282"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有力保障</w:t>
            </w:r>
          </w:p>
        </w:tc>
        <w:tc>
          <w:tcPr>
            <w:tcW w:w="1341"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有力保障</w:t>
            </w:r>
          </w:p>
        </w:tc>
        <w:tc>
          <w:tcPr>
            <w:tcW w:w="878"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spacing w:line="240" w:lineRule="auto"/>
              <w:jc w:val="center"/>
              <w:rPr>
                <w:rFonts w:ascii="Arial Narrow" w:hAnsi="Arial Narrow" w:eastAsia="仿宋_GB2312" w:cs="Arial Narrow"/>
                <w:color w:val="auto"/>
                <w:kern w:val="0"/>
                <w:highlight w:val="none"/>
              </w:rPr>
            </w:pPr>
          </w:p>
        </w:tc>
        <w:tc>
          <w:tcPr>
            <w:tcW w:w="653" w:type="dxa"/>
            <w:vMerge w:val="restart"/>
            <w:vAlign w:val="center"/>
          </w:tcPr>
          <w:p>
            <w:pPr>
              <w:widowControl/>
              <w:spacing w:line="240" w:lineRule="auto"/>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效益指标</w:t>
            </w:r>
          </w:p>
        </w:tc>
        <w:tc>
          <w:tcPr>
            <w:tcW w:w="1324"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hint="eastAsia" w:ascii="Arial Narrow" w:hAnsi="Arial Narrow" w:eastAsia="仿宋_GB2312" w:cs="Arial Narrow"/>
                <w:color w:val="auto"/>
                <w:kern w:val="0"/>
                <w:highlight w:val="none"/>
                <w:lang w:bidi="ar"/>
              </w:rPr>
              <w:t>社会</w:t>
            </w:r>
            <w:r>
              <w:rPr>
                <w:rFonts w:ascii="Arial Narrow" w:hAnsi="Arial Narrow" w:eastAsia="仿宋_GB2312" w:cs="Arial Narrow"/>
                <w:color w:val="auto"/>
                <w:kern w:val="0"/>
                <w:highlight w:val="none"/>
                <w:lang w:bidi="ar"/>
              </w:rPr>
              <w:t>效益指标</w:t>
            </w:r>
          </w:p>
        </w:tc>
        <w:tc>
          <w:tcPr>
            <w:tcW w:w="2694" w:type="dxa"/>
            <w:gridSpan w:val="2"/>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综合治理获奖数（</w:t>
            </w:r>
            <w:r>
              <w:rPr>
                <w:rFonts w:hint="eastAsia" w:ascii="Arial Narrow" w:hAnsi="Arial Narrow" w:eastAsia="仿宋_GB2312" w:cs="Arial Narrow"/>
                <w:color w:val="auto"/>
                <w:kern w:val="0"/>
                <w:highlight w:val="none"/>
                <w:lang w:val="en-US" w:eastAsia="zh-CN" w:bidi="ar"/>
              </w:rPr>
              <w:t>4</w:t>
            </w:r>
            <w:r>
              <w:rPr>
                <w:rFonts w:ascii="Arial Narrow" w:hAnsi="Arial Narrow" w:eastAsia="仿宋_GB2312" w:cs="Arial Narrow"/>
                <w:color w:val="auto"/>
                <w:kern w:val="0"/>
                <w:highlight w:val="none"/>
                <w:lang w:bidi="ar"/>
              </w:rPr>
              <w:t>分）</w:t>
            </w:r>
          </w:p>
        </w:tc>
        <w:tc>
          <w:tcPr>
            <w:tcW w:w="1282"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1</w:t>
            </w:r>
          </w:p>
        </w:tc>
        <w:tc>
          <w:tcPr>
            <w:tcW w:w="1341"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1</w:t>
            </w:r>
          </w:p>
        </w:tc>
        <w:tc>
          <w:tcPr>
            <w:tcW w:w="878"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hint="eastAsia" w:ascii="Arial Narrow" w:hAnsi="Arial Narrow" w:eastAsia="仿宋_GB2312" w:cs="Arial Narrow"/>
                <w:color w:val="auto"/>
                <w:kern w:val="0"/>
                <w:highlight w:val="none"/>
                <w:lang w:val="en-US" w:eastAsia="zh-CN" w:bidi="ar"/>
              </w:rPr>
              <w:t>4</w:t>
            </w:r>
            <w:r>
              <w:rPr>
                <w:rFonts w:hint="eastAsia" w:ascii="Arial Narrow" w:hAnsi="Arial Narrow" w:eastAsia="仿宋_GB2312" w:cs="Arial Narrow"/>
                <w:color w:val="auto"/>
                <w:kern w:val="0"/>
                <w:highlight w:val="none"/>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spacing w:line="240" w:lineRule="auto"/>
              <w:jc w:val="center"/>
              <w:rPr>
                <w:rFonts w:ascii="Arial Narrow" w:hAnsi="Arial Narrow" w:eastAsia="仿宋_GB2312" w:cs="Arial Narrow"/>
                <w:color w:val="auto"/>
                <w:kern w:val="0"/>
                <w:highlight w:val="none"/>
              </w:rPr>
            </w:pPr>
          </w:p>
        </w:tc>
        <w:tc>
          <w:tcPr>
            <w:tcW w:w="653" w:type="dxa"/>
            <w:vMerge w:val="continue"/>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p>
        </w:tc>
        <w:tc>
          <w:tcPr>
            <w:tcW w:w="1324"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可持续影响指标</w:t>
            </w:r>
          </w:p>
        </w:tc>
        <w:tc>
          <w:tcPr>
            <w:tcW w:w="2694" w:type="dxa"/>
            <w:gridSpan w:val="2"/>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通过机关日常保障和物业管理，提供良好的办公条件（</w:t>
            </w:r>
            <w:r>
              <w:rPr>
                <w:rFonts w:hint="eastAsia" w:ascii="Arial Narrow" w:hAnsi="Arial Narrow" w:eastAsia="仿宋_GB2312" w:cs="Arial Narrow"/>
                <w:color w:val="auto"/>
                <w:kern w:val="0"/>
                <w:highlight w:val="none"/>
                <w:lang w:val="en-US" w:eastAsia="zh-CN" w:bidi="ar"/>
              </w:rPr>
              <w:t>4</w:t>
            </w:r>
            <w:r>
              <w:rPr>
                <w:rFonts w:ascii="Arial Narrow" w:hAnsi="Arial Narrow" w:eastAsia="仿宋_GB2312" w:cs="Arial Narrow"/>
                <w:color w:val="auto"/>
                <w:kern w:val="0"/>
                <w:highlight w:val="none"/>
                <w:lang w:bidi="ar"/>
              </w:rPr>
              <w:t>分）</w:t>
            </w:r>
          </w:p>
        </w:tc>
        <w:tc>
          <w:tcPr>
            <w:tcW w:w="1282"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有力保障</w:t>
            </w:r>
          </w:p>
        </w:tc>
        <w:tc>
          <w:tcPr>
            <w:tcW w:w="1341"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有力保障</w:t>
            </w:r>
          </w:p>
        </w:tc>
        <w:tc>
          <w:tcPr>
            <w:tcW w:w="878"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hint="eastAsia" w:ascii="Arial Narrow" w:hAnsi="Arial Narrow" w:eastAsia="仿宋_GB2312" w:cs="Arial Narrow"/>
                <w:color w:val="auto"/>
                <w:kern w:val="0"/>
                <w:highlight w:val="none"/>
                <w:lang w:val="en-US" w:eastAsia="zh-CN" w:bidi="ar"/>
              </w:rPr>
              <w:t>4</w:t>
            </w:r>
            <w:r>
              <w:rPr>
                <w:rFonts w:hint="eastAsia" w:ascii="Arial Narrow" w:hAnsi="Arial Narrow" w:eastAsia="仿宋_GB2312" w:cs="Arial Narrow"/>
                <w:color w:val="auto"/>
                <w:kern w:val="0"/>
                <w:highlight w:val="none"/>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spacing w:line="240" w:lineRule="auto"/>
              <w:jc w:val="center"/>
              <w:rPr>
                <w:rFonts w:ascii="Arial Narrow" w:hAnsi="Arial Narrow" w:eastAsia="仿宋_GB2312" w:cs="Arial Narrow"/>
                <w:color w:val="auto"/>
                <w:kern w:val="0"/>
                <w:highlight w:val="none"/>
              </w:rPr>
            </w:pPr>
          </w:p>
        </w:tc>
        <w:tc>
          <w:tcPr>
            <w:tcW w:w="653" w:type="dxa"/>
            <w:vAlign w:val="center"/>
          </w:tcPr>
          <w:p>
            <w:pPr>
              <w:widowControl/>
              <w:spacing w:line="240" w:lineRule="auto"/>
              <w:jc w:val="center"/>
              <w:textAlignment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lang w:bidi="ar"/>
              </w:rPr>
              <w:t>满意度指标</w:t>
            </w:r>
          </w:p>
        </w:tc>
        <w:tc>
          <w:tcPr>
            <w:tcW w:w="1324"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服务对象满意度指标</w:t>
            </w:r>
          </w:p>
        </w:tc>
        <w:tc>
          <w:tcPr>
            <w:tcW w:w="2694" w:type="dxa"/>
            <w:gridSpan w:val="2"/>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干部职工对机关日常维护质量以及效率的满意程度（5分）</w:t>
            </w:r>
          </w:p>
        </w:tc>
        <w:tc>
          <w:tcPr>
            <w:tcW w:w="1282"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满意</w:t>
            </w:r>
          </w:p>
        </w:tc>
        <w:tc>
          <w:tcPr>
            <w:tcW w:w="1341"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满意</w:t>
            </w:r>
          </w:p>
        </w:tc>
        <w:tc>
          <w:tcPr>
            <w:tcW w:w="878" w:type="dxa"/>
            <w:vAlign w:val="center"/>
          </w:tcPr>
          <w:p>
            <w:pPr>
              <w:widowControl/>
              <w:spacing w:line="240" w:lineRule="auto"/>
              <w:jc w:val="center"/>
              <w:textAlignment w:val="center"/>
              <w:rPr>
                <w:rFonts w:ascii="Arial Narrow" w:hAnsi="Arial Narrow" w:eastAsia="仿宋_GB2312" w:cs="Arial Narrow"/>
                <w:color w:val="auto"/>
                <w:kern w:val="0"/>
                <w:highlight w:val="none"/>
                <w:lang w:bidi="ar"/>
              </w:rPr>
            </w:pPr>
            <w:r>
              <w:rPr>
                <w:rFonts w:ascii="Arial Narrow" w:hAnsi="Arial Narrow" w:eastAsia="仿宋_GB2312" w:cs="Arial Narrow"/>
                <w:color w:val="auto"/>
                <w:kern w:val="0"/>
                <w:highlight w:val="none"/>
                <w:lang w:bidi="ar"/>
              </w:rPr>
              <w:t>5</w:t>
            </w:r>
            <w:r>
              <w:rPr>
                <w:rFonts w:hint="eastAsia" w:ascii="Arial Narrow" w:hAnsi="Arial Narrow" w:eastAsia="仿宋_GB2312" w:cs="Arial Narrow"/>
                <w:color w:val="auto"/>
                <w:kern w:val="0"/>
                <w:highlight w:val="none"/>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429" w:type="dxa"/>
            <w:gridSpan w:val="2"/>
            <w:vAlign w:val="center"/>
          </w:tcPr>
          <w:p>
            <w:pPr>
              <w:widowControl/>
              <w:spacing w:line="240" w:lineRule="auto"/>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总分</w:t>
            </w:r>
          </w:p>
        </w:tc>
        <w:tc>
          <w:tcPr>
            <w:tcW w:w="7519" w:type="dxa"/>
            <w:gridSpan w:val="6"/>
            <w:vAlign w:val="center"/>
          </w:tcPr>
          <w:p>
            <w:pPr>
              <w:widowControl/>
              <w:spacing w:line="240" w:lineRule="auto"/>
              <w:jc w:val="center"/>
              <w:textAlignment w:val="center"/>
              <w:rPr>
                <w:rFonts w:hint="eastAsia" w:ascii="Arial Narrow" w:hAnsi="Arial Narrow" w:eastAsia="仿宋_GB2312" w:cs="Arial Narrow"/>
                <w:color w:val="auto"/>
                <w:highlight w:val="none"/>
                <w:lang w:eastAsia="zh-CN"/>
              </w:rPr>
            </w:pPr>
            <w:r>
              <w:rPr>
                <w:rFonts w:hint="eastAsia" w:ascii="Arial Narrow" w:hAnsi="Arial Narrow" w:eastAsia="仿宋_GB2312" w:cs="Arial Narrow"/>
                <w:color w:val="auto"/>
                <w:kern w:val="0"/>
                <w:highlight w:val="none"/>
                <w:lang w:eastAsia="zh-CN" w:bidi="ar"/>
              </w:rPr>
              <w:t>92.</w:t>
            </w:r>
            <w:r>
              <w:rPr>
                <w:rFonts w:hint="eastAsia" w:ascii="Arial Narrow" w:hAnsi="Arial Narrow" w:eastAsia="仿宋_GB2312" w:cs="Arial Narrow"/>
                <w:color w:val="auto"/>
                <w:kern w:val="0"/>
                <w:highlight w:val="none"/>
                <w:lang w:val="en-US" w:eastAsia="zh-CN" w:bidi="ar"/>
              </w:rPr>
              <w:t>7</w:t>
            </w:r>
            <w:r>
              <w:rPr>
                <w:rFonts w:hint="eastAsia" w:ascii="Arial Narrow" w:hAnsi="Arial Narrow" w:eastAsia="仿宋_GB2312" w:cs="Arial Narrow"/>
                <w:color w:val="auto"/>
                <w:kern w:val="0"/>
                <w:highlight w:val="none"/>
                <w:lang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330" w:hRule="atLeast"/>
          <w:jc w:val="center"/>
        </w:trPr>
        <w:tc>
          <w:tcPr>
            <w:tcW w:w="1429" w:type="dxa"/>
            <w:gridSpan w:val="2"/>
            <w:vAlign w:val="center"/>
          </w:tcPr>
          <w:p>
            <w:pPr>
              <w:widowControl/>
              <w:spacing w:line="36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偏差大或</w:t>
            </w:r>
          </w:p>
          <w:p>
            <w:pPr>
              <w:widowControl/>
              <w:spacing w:line="36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目标未完成</w:t>
            </w:r>
          </w:p>
          <w:p>
            <w:pPr>
              <w:widowControl/>
              <w:spacing w:line="36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原因分析</w:t>
            </w:r>
          </w:p>
        </w:tc>
        <w:tc>
          <w:tcPr>
            <w:tcW w:w="7519" w:type="dxa"/>
            <w:gridSpan w:val="6"/>
            <w:vAlign w:val="center"/>
          </w:tcPr>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lang w:val="en-US" w:eastAsia="zh-CN"/>
              </w:rPr>
              <w:t>1.</w:t>
            </w:r>
            <w:r>
              <w:rPr>
                <w:rFonts w:hint="eastAsia" w:ascii="Arial Narrow" w:hAnsi="Arial Narrow" w:eastAsia="仿宋_GB2312" w:cs="Arial Narrow"/>
                <w:color w:val="auto"/>
                <w:kern w:val="0"/>
                <w:highlight w:val="none"/>
              </w:rPr>
              <w:t>部分绩效指标值未达到年初目标。</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一是年初计划开展团结联谊类会议1次，实际未开展。主要是因为综合考虑当前疫情防控工作的需要和年底全省的工作安排，今年暂停举办湖北省各界人士迎新年茶话会。</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二是年初计划出版《湖北文史》2期，实际出版1期，拟出版的《湖北文史》109辑“抗疫专辑”已完成组稿、编审工作，但因涉及抗击新冠疫情，省主管部门认为，该书稿所涉及人物、图片、数字等细节和重大节点、重大结论等相关内容表述比较敏感，难以全部一一核准，为慎重起见，建议此书稿作为内部资料留存，因此未出版。</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三是接待批次未达年初目标值，主要是因为受疫情影响，港澳台侨各界、海外华人华侨、外国访问团来鄂考察访问活动次数及兄弟省市领导考察调研、国家领导人视察、国家机关（副）部级领导考察调研次数减少。</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lang w:val="en-US" w:eastAsia="zh-CN"/>
              </w:rPr>
              <w:t>2.</w:t>
            </w:r>
            <w:r>
              <w:rPr>
                <w:rFonts w:hint="eastAsia" w:ascii="Arial Narrow" w:hAnsi="Arial Narrow" w:eastAsia="仿宋_GB2312" w:cs="Arial Narrow"/>
                <w:color w:val="auto"/>
                <w:kern w:val="0"/>
                <w:highlight w:val="none"/>
              </w:rPr>
              <w:t>项目绩效指标体系科学性有待提升。</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一是产出指标中，“国家领导人视察调研接待次数”、“国家机关（副）部级领导考察、调研接待次数”、“兄弟省市领导考察、调研接待次数”3个数量指标评价方向相似，可以合并为1个指标。</w:t>
            </w:r>
          </w:p>
          <w:p>
            <w:pPr>
              <w:widowControl/>
              <w:spacing w:line="360" w:lineRule="exact"/>
              <w:ind w:firstLine="420" w:firstLineChars="200"/>
              <w:jc w:val="left"/>
              <w:rPr>
                <w:rFonts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二是效益指标完成程度难以量化评价，如“发挥政协在国家治理中的作用”、“通过开展民主监督落实推动相关工作进展情况”、“开展界别活动对社会的影响力”、“提案追踪宣传效果”等指标目标值为定性描述，不便于对指标完成程度进行量化评价，项目实施效果的评价结论容易受到主观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3" w:hRule="atLeast"/>
          <w:jc w:val="center"/>
        </w:trPr>
        <w:tc>
          <w:tcPr>
            <w:tcW w:w="1429" w:type="dxa"/>
            <w:gridSpan w:val="2"/>
            <w:vAlign w:val="center"/>
          </w:tcPr>
          <w:p>
            <w:pPr>
              <w:widowControl/>
              <w:spacing w:line="36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改进措施及</w:t>
            </w:r>
          </w:p>
          <w:p>
            <w:pPr>
              <w:widowControl/>
              <w:spacing w:line="36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结果应用</w:t>
            </w:r>
          </w:p>
          <w:p>
            <w:pPr>
              <w:widowControl/>
              <w:spacing w:line="360" w:lineRule="exact"/>
              <w:jc w:val="center"/>
              <w:rPr>
                <w:rFonts w:ascii="Arial Narrow" w:hAnsi="Arial Narrow" w:eastAsia="仿宋_GB2312" w:cs="Arial Narrow"/>
                <w:color w:val="auto"/>
                <w:kern w:val="0"/>
                <w:highlight w:val="none"/>
              </w:rPr>
            </w:pPr>
            <w:r>
              <w:rPr>
                <w:rFonts w:ascii="Arial Narrow" w:hAnsi="Arial Narrow" w:eastAsia="仿宋_GB2312" w:cs="Arial Narrow"/>
                <w:color w:val="auto"/>
                <w:kern w:val="0"/>
                <w:highlight w:val="none"/>
              </w:rPr>
              <w:t>方案</w:t>
            </w:r>
          </w:p>
        </w:tc>
        <w:tc>
          <w:tcPr>
            <w:tcW w:w="7519" w:type="dxa"/>
            <w:gridSpan w:val="6"/>
            <w:vAlign w:val="center"/>
          </w:tcPr>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1.项目完善及绩效目标调整。</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（1）项目完善措施</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一是按计划开展各类专项会议，牢牢把握新时代人民政协的新方位新使命，坚持建言资政和凝聚共识双向发力，全面推动政协工作提质增效，提高政治协商、民主监督、参政议政水平，不断完善制度机制，更好地把人民政协制度优势转化为国家治理效能。</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二是充分发挥政协优势，广泛凝聚各阶层力量和智慧，宣传荆楚文化，树立正确的创作导向，同时发挥文史资料存史、资政、团结、育人的功能，为两个文明建设服务。</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三是综合考虑疫情防控要求，合理安排接待及交流工作，采用多种形式广泛凝聚共识，加强同海外侨胞和港澳人士的团结联系、交流合作，起到凝聚人心、画大同心圆的积极作用。</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（2）绩效目标调整措施</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一是将“国家领导人视察调研接待次数”、“国家机关（副）部级领导考察、调研接待次数”、“兄弟省市领导考察、调研接待次数”3个指标合并，修改为“接待考察、视察调研次数”指标。</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二是根据项目资金支出方向和实际实施内容，优化项目绩效指标体系，如将“发挥政协在国家治理中的作用”指标修改为“建言资政、凝聚共识履职程度”指标、“提案追踪宣传效果”指标修改为“提案追踪全年累计观看人数”指标、“通过机关日常保障和物业管理，提供良好的办公条件”指标修改为“办公环境保障度”指标，新增“调研信息结果运用率”指标、“社情民意反馈度”指标等。</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三是设置可量化的满意度指标值，便于对满意度指标完成程度进行量化评价。如设置“干部职工对机关日常维护质量以及效率的满意程度”指标目标值≥95%。</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四是做好调研和计划，充分考虑各项影响因素，合理设置绩效目标值。</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2.拟与预算安排相结合情况。</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（1）根据预算执行情况适当调整各项目资金支出结构，实行资金安排与绩效评价结果挂钩机制，同时根据绩效自评结果，确定下一年度预算执行情况及指标完成情况的跟踪监控方向。</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（2）根据绩效自评结果，完善绩效指标体系。</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一是设置可量化的效益指标，如将“发挥政协在国家治理中的作用”指标修改为“建言资政、凝聚共识履职程度”指标，指标目标值为100%；将“开展界别活动对社会的影响力”指标修改为“界别活动社会影响度”指标，指标目标值为100%；将“通过机关日常保障和物业管理，提供良好的办公条件”指标修改为“办公环境保障度”指标，指标目标值为95%；将“提案追踪宣传效果”指标修改为“提案追踪全年累计观看人数”指标，指标目标值为1700万人；新增“调研信息结果运用率”指标，指标目标值为20%；新增“社情民意反馈度”指标，指标目标值为100%等。</w:t>
            </w:r>
          </w:p>
          <w:p>
            <w:pPr>
              <w:widowControl/>
              <w:spacing w:line="360" w:lineRule="exact"/>
              <w:ind w:firstLine="420" w:firstLineChars="200"/>
              <w:jc w:val="left"/>
              <w:rPr>
                <w:rFonts w:hint="eastAsia"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二是将评价方向相似的指标进行合并汇总，“国家领导人视察调研接待次数”、“国家机关（副）部级领导考察、调研接待次数”、“兄弟省市领导考察、调研接待次数”3个指标合并修改为“接待考察、视察调研次数”指标，指标目标值为20批次。</w:t>
            </w:r>
          </w:p>
          <w:p>
            <w:pPr>
              <w:widowControl/>
              <w:spacing w:line="360" w:lineRule="exact"/>
              <w:ind w:firstLine="420" w:firstLineChars="200"/>
              <w:jc w:val="left"/>
              <w:rPr>
                <w:rFonts w:ascii="Arial Narrow" w:hAnsi="Arial Narrow" w:eastAsia="仿宋_GB2312" w:cs="Arial Narrow"/>
                <w:color w:val="auto"/>
                <w:kern w:val="0"/>
                <w:highlight w:val="none"/>
              </w:rPr>
            </w:pPr>
            <w:r>
              <w:rPr>
                <w:rFonts w:hint="eastAsia" w:ascii="Arial Narrow" w:hAnsi="Arial Narrow" w:eastAsia="仿宋_GB2312" w:cs="Arial Narrow"/>
                <w:color w:val="auto"/>
                <w:kern w:val="0"/>
                <w:highlight w:val="none"/>
              </w:rPr>
              <w:t>三是将两个满意度指标的目标值调整为≥95%，便于对满意度指标完成程度进行量化评价。</w:t>
            </w:r>
          </w:p>
        </w:tc>
      </w:tr>
    </w:tbl>
    <w:p>
      <w:pPr>
        <w:widowControl/>
        <w:outlineLvl w:val="0"/>
        <w:rPr>
          <w:rFonts w:ascii="Arial Narrow" w:hAnsi="Arial Narrow" w:eastAsia="仿宋_GB2312" w:cs="Times New Roman"/>
          <w:color w:val="auto"/>
          <w:kern w:val="0"/>
          <w:highlight w:val="none"/>
        </w:rPr>
      </w:pPr>
      <w:r>
        <w:rPr>
          <w:rFonts w:ascii="Arial Narrow" w:hAnsi="Arial Narrow" w:eastAsia="仿宋_GB2312" w:cs="仿宋_GB2312"/>
          <w:color w:val="auto"/>
          <w:kern w:val="0"/>
          <w:highlight w:val="none"/>
        </w:rPr>
        <w:t>备注：</w:t>
      </w:r>
    </w:p>
    <w:p>
      <w:pPr>
        <w:widowControl/>
        <w:ind w:firstLine="420" w:firstLineChars="200"/>
        <w:rPr>
          <w:rFonts w:ascii="Arial Narrow" w:hAnsi="Arial Narrow" w:eastAsia="仿宋_GB2312" w:cs="Times New Roman"/>
          <w:color w:val="auto"/>
          <w:kern w:val="0"/>
          <w:highlight w:val="none"/>
        </w:rPr>
      </w:pPr>
      <w:r>
        <w:rPr>
          <w:rFonts w:ascii="Arial Narrow" w:hAnsi="Arial Narrow" w:eastAsia="仿宋_GB2312" w:cs="仿宋_GB2312"/>
          <w:color w:val="auto"/>
          <w:kern w:val="0"/>
          <w:highlight w:val="none"/>
        </w:rPr>
        <w:t>1.预算执行情况口径：预算数为调整后财政资金总额（包括上年结余结转），执行数为资金使用单位财政资金实际支出数。</w:t>
      </w:r>
    </w:p>
    <w:p>
      <w:pPr>
        <w:widowControl/>
        <w:ind w:firstLine="420" w:firstLineChars="200"/>
        <w:rPr>
          <w:rFonts w:ascii="Arial Narrow" w:hAnsi="Arial Narrow" w:eastAsia="仿宋_GB2312" w:cs="Times New Roman"/>
          <w:color w:val="auto"/>
          <w:kern w:val="0"/>
          <w:highlight w:val="none"/>
        </w:rPr>
      </w:pPr>
      <w:r>
        <w:rPr>
          <w:rFonts w:ascii="Arial Narrow" w:hAnsi="Arial Narrow" w:eastAsia="仿宋_GB2312" w:cs="仿宋_GB2312"/>
          <w:color w:val="auto"/>
          <w:kern w:val="0"/>
          <w:highlight w:val="none"/>
        </w:rPr>
        <w:t>2.定量指标完成数汇总原则：绝对值直接累加计算，相对值按照资金额度加权平均计算。定量指标计分原则：正向指标（即目标值为≥X,得分=权重*B/A），反向指标（即目标值为≤X，得分=权重*A/B），得分不得突破权重总额。定量指标先汇总完成数，再计算得分。</w:t>
      </w:r>
    </w:p>
    <w:p>
      <w:pPr>
        <w:widowControl/>
        <w:ind w:firstLine="420" w:firstLineChars="200"/>
        <w:rPr>
          <w:rFonts w:ascii="Arial Narrow" w:hAnsi="Arial Narrow" w:eastAsia="仿宋_GB2312" w:cs="Times New Roman"/>
          <w:color w:val="auto"/>
          <w:kern w:val="0"/>
          <w:highlight w:val="none"/>
        </w:rPr>
      </w:pPr>
      <w:r>
        <w:rPr>
          <w:rFonts w:ascii="Arial Narrow" w:hAnsi="Arial Narrow" w:eastAsia="仿宋_GB2312" w:cs="仿宋_GB2312"/>
          <w:color w:val="auto"/>
          <w:kern w:val="0"/>
          <w:highlight w:val="none"/>
        </w:rPr>
        <w:t>3.定性指标计分原则：达成预期指标、部分达成预期指标并具有一定效果、未达成预期指标且效果较差三档，分别按照该指标对应分值区间100-80%（含80%）、80-50%（含50%）、50-0%合理确定分值。汇总时，以资金额度为权重，对分值进行加权平均计算。</w:t>
      </w:r>
    </w:p>
    <w:p>
      <w:pPr>
        <w:widowControl/>
        <w:ind w:firstLine="420" w:firstLineChars="200"/>
        <w:rPr>
          <w:rFonts w:ascii="Arial Narrow" w:hAnsi="Arial Narrow" w:eastAsia="仿宋_GB2312" w:cs="仿宋_GB2312"/>
          <w:color w:val="auto"/>
          <w:kern w:val="0"/>
          <w:highlight w:val="none"/>
        </w:rPr>
      </w:pPr>
      <w:r>
        <w:rPr>
          <w:rFonts w:ascii="Arial Narrow" w:hAnsi="Arial Narrow" w:eastAsia="仿宋_GB2312" w:cs="仿宋_GB2312"/>
          <w:color w:val="auto"/>
          <w:kern w:val="0"/>
          <w:highlight w:val="none"/>
        </w:rPr>
        <w:t>4.基于经济性和必要性等因素考虑，满意度指标暂可不作为必评指标。</w:t>
      </w:r>
    </w:p>
    <w:p>
      <w:pPr>
        <w:rPr>
          <w:color w:val="auto"/>
          <w:highlight w:val="none"/>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Arial Narrow">
    <w:altName w:val="DejaVu Sans"/>
    <w:panose1 w:val="020B0606020202030204"/>
    <w:charset w:val="00"/>
    <w:family w:val="auto"/>
    <w:pitch w:val="default"/>
    <w:sig w:usb0="00000000" w:usb1="00000000" w:usb2="00000000" w:usb3="00000000" w:csb0="2000009F" w:csb1="DFD70000"/>
  </w:font>
  <w:font w:name="方正小标宋_GBK">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黑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0"/>
    </w:sdtPr>
    <w:sdtContent>
      <w:p>
        <w:pPr>
          <w:pStyle w:val="5"/>
          <w:jc w:val="center"/>
        </w:pPr>
        <w:r>
          <w:fldChar w:fldCharType="begin"/>
        </w:r>
        <w:r>
          <w:instrText xml:space="preserve">PAGE   \* MERGEFORMAT</w:instrText>
        </w:r>
        <w:r>
          <w:fldChar w:fldCharType="separate"/>
        </w:r>
        <w:r>
          <w:rPr>
            <w:lang w:val="zh-CN"/>
          </w:rPr>
          <w:t>27</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B7070F"/>
    <w:multiLevelType w:val="singleLevel"/>
    <w:tmpl w:val="9DB7070F"/>
    <w:lvl w:ilvl="0" w:tentative="0">
      <w:start w:val="2"/>
      <w:numFmt w:val="decimal"/>
      <w:suff w:val="nothing"/>
      <w:lvlText w:val="（%1）"/>
      <w:lvlJc w:val="left"/>
    </w:lvl>
  </w:abstractNum>
  <w:abstractNum w:abstractNumId="1">
    <w:nsid w:val="4E60A59C"/>
    <w:multiLevelType w:val="singleLevel"/>
    <w:tmpl w:val="4E60A59C"/>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177A"/>
    <w:rsid w:val="00023B54"/>
    <w:rsid w:val="00053E79"/>
    <w:rsid w:val="00063B80"/>
    <w:rsid w:val="00070873"/>
    <w:rsid w:val="00070CF8"/>
    <w:rsid w:val="00077FBC"/>
    <w:rsid w:val="00092D78"/>
    <w:rsid w:val="00094262"/>
    <w:rsid w:val="000B4BA9"/>
    <w:rsid w:val="000C53E7"/>
    <w:rsid w:val="000C6D42"/>
    <w:rsid w:val="000D25F8"/>
    <w:rsid w:val="000D360D"/>
    <w:rsid w:val="000D618D"/>
    <w:rsid w:val="000E58F2"/>
    <w:rsid w:val="000E6863"/>
    <w:rsid w:val="000F779B"/>
    <w:rsid w:val="00100262"/>
    <w:rsid w:val="00126F8C"/>
    <w:rsid w:val="00140301"/>
    <w:rsid w:val="00144F5C"/>
    <w:rsid w:val="00157AB0"/>
    <w:rsid w:val="001604B7"/>
    <w:rsid w:val="0016664B"/>
    <w:rsid w:val="00172A27"/>
    <w:rsid w:val="00184CD1"/>
    <w:rsid w:val="0018760E"/>
    <w:rsid w:val="0019362A"/>
    <w:rsid w:val="00194B53"/>
    <w:rsid w:val="001A1865"/>
    <w:rsid w:val="001B6134"/>
    <w:rsid w:val="001B6DC9"/>
    <w:rsid w:val="001C779F"/>
    <w:rsid w:val="001D57B6"/>
    <w:rsid w:val="001F4EFB"/>
    <w:rsid w:val="002004BD"/>
    <w:rsid w:val="00205700"/>
    <w:rsid w:val="00232A49"/>
    <w:rsid w:val="00233D8B"/>
    <w:rsid w:val="00235852"/>
    <w:rsid w:val="00243CE4"/>
    <w:rsid w:val="00245F14"/>
    <w:rsid w:val="002621AB"/>
    <w:rsid w:val="00263356"/>
    <w:rsid w:val="00274019"/>
    <w:rsid w:val="002905B7"/>
    <w:rsid w:val="002B603A"/>
    <w:rsid w:val="002C150C"/>
    <w:rsid w:val="002F4EB7"/>
    <w:rsid w:val="002F7F5D"/>
    <w:rsid w:val="003017CA"/>
    <w:rsid w:val="003317B3"/>
    <w:rsid w:val="00332AEE"/>
    <w:rsid w:val="003407E5"/>
    <w:rsid w:val="00347A16"/>
    <w:rsid w:val="003530F1"/>
    <w:rsid w:val="00367E49"/>
    <w:rsid w:val="00371571"/>
    <w:rsid w:val="00380E8D"/>
    <w:rsid w:val="00386864"/>
    <w:rsid w:val="003975BF"/>
    <w:rsid w:val="003B7C44"/>
    <w:rsid w:val="003C25B9"/>
    <w:rsid w:val="003D0658"/>
    <w:rsid w:val="003D5FDE"/>
    <w:rsid w:val="003F1139"/>
    <w:rsid w:val="00400536"/>
    <w:rsid w:val="0040378E"/>
    <w:rsid w:val="00416205"/>
    <w:rsid w:val="004250D4"/>
    <w:rsid w:val="00444164"/>
    <w:rsid w:val="0045123B"/>
    <w:rsid w:val="00476260"/>
    <w:rsid w:val="00476C7A"/>
    <w:rsid w:val="00493DD5"/>
    <w:rsid w:val="004A7F46"/>
    <w:rsid w:val="004B1473"/>
    <w:rsid w:val="004B254A"/>
    <w:rsid w:val="004D17CF"/>
    <w:rsid w:val="004E1B3D"/>
    <w:rsid w:val="004F2E3C"/>
    <w:rsid w:val="00511003"/>
    <w:rsid w:val="00512DE3"/>
    <w:rsid w:val="00542B86"/>
    <w:rsid w:val="0054576B"/>
    <w:rsid w:val="00553708"/>
    <w:rsid w:val="00553ED9"/>
    <w:rsid w:val="005861D2"/>
    <w:rsid w:val="00590F14"/>
    <w:rsid w:val="00591C77"/>
    <w:rsid w:val="005B298D"/>
    <w:rsid w:val="005D7B50"/>
    <w:rsid w:val="0061473F"/>
    <w:rsid w:val="00615248"/>
    <w:rsid w:val="00623021"/>
    <w:rsid w:val="006239AC"/>
    <w:rsid w:val="00624CCA"/>
    <w:rsid w:val="0063120A"/>
    <w:rsid w:val="00643212"/>
    <w:rsid w:val="00664023"/>
    <w:rsid w:val="006710E4"/>
    <w:rsid w:val="0067229F"/>
    <w:rsid w:val="006722BC"/>
    <w:rsid w:val="00675573"/>
    <w:rsid w:val="006A2558"/>
    <w:rsid w:val="006A703E"/>
    <w:rsid w:val="006C49F8"/>
    <w:rsid w:val="006E4A63"/>
    <w:rsid w:val="006F39CB"/>
    <w:rsid w:val="00715F40"/>
    <w:rsid w:val="00720F22"/>
    <w:rsid w:val="00767D4A"/>
    <w:rsid w:val="00783516"/>
    <w:rsid w:val="007B38C5"/>
    <w:rsid w:val="007C2089"/>
    <w:rsid w:val="007C420B"/>
    <w:rsid w:val="007D1EE2"/>
    <w:rsid w:val="007D6F6F"/>
    <w:rsid w:val="007E1EAF"/>
    <w:rsid w:val="007E4779"/>
    <w:rsid w:val="007E7563"/>
    <w:rsid w:val="007F151F"/>
    <w:rsid w:val="007F6E22"/>
    <w:rsid w:val="007F739C"/>
    <w:rsid w:val="00812697"/>
    <w:rsid w:val="00816A7E"/>
    <w:rsid w:val="00823DFC"/>
    <w:rsid w:val="0082591C"/>
    <w:rsid w:val="0083237F"/>
    <w:rsid w:val="00834A7F"/>
    <w:rsid w:val="00836238"/>
    <w:rsid w:val="008429D0"/>
    <w:rsid w:val="00842F50"/>
    <w:rsid w:val="00857AAF"/>
    <w:rsid w:val="00870E4B"/>
    <w:rsid w:val="008A45DC"/>
    <w:rsid w:val="008B3121"/>
    <w:rsid w:val="008C3A45"/>
    <w:rsid w:val="008E17B3"/>
    <w:rsid w:val="008E4B49"/>
    <w:rsid w:val="008F0163"/>
    <w:rsid w:val="00902076"/>
    <w:rsid w:val="00905FD2"/>
    <w:rsid w:val="00911063"/>
    <w:rsid w:val="00911175"/>
    <w:rsid w:val="00911AFC"/>
    <w:rsid w:val="00926034"/>
    <w:rsid w:val="00937177"/>
    <w:rsid w:val="009813B4"/>
    <w:rsid w:val="00984765"/>
    <w:rsid w:val="009902AD"/>
    <w:rsid w:val="009977F2"/>
    <w:rsid w:val="009A24D4"/>
    <w:rsid w:val="009A2AEE"/>
    <w:rsid w:val="009A31C6"/>
    <w:rsid w:val="009B0793"/>
    <w:rsid w:val="009C2F45"/>
    <w:rsid w:val="009C4915"/>
    <w:rsid w:val="009D5452"/>
    <w:rsid w:val="009F408E"/>
    <w:rsid w:val="00A1347D"/>
    <w:rsid w:val="00A14013"/>
    <w:rsid w:val="00A22569"/>
    <w:rsid w:val="00A2353B"/>
    <w:rsid w:val="00A27CEC"/>
    <w:rsid w:val="00A629EF"/>
    <w:rsid w:val="00A737D5"/>
    <w:rsid w:val="00A82560"/>
    <w:rsid w:val="00A84DBB"/>
    <w:rsid w:val="00A8638B"/>
    <w:rsid w:val="00A962BF"/>
    <w:rsid w:val="00A96BE1"/>
    <w:rsid w:val="00AB0911"/>
    <w:rsid w:val="00AB2726"/>
    <w:rsid w:val="00AB596E"/>
    <w:rsid w:val="00AC024B"/>
    <w:rsid w:val="00AD5311"/>
    <w:rsid w:val="00AF7F15"/>
    <w:rsid w:val="00B056AC"/>
    <w:rsid w:val="00B07AF3"/>
    <w:rsid w:val="00B1308B"/>
    <w:rsid w:val="00B15BC5"/>
    <w:rsid w:val="00B21A7B"/>
    <w:rsid w:val="00B22F73"/>
    <w:rsid w:val="00B41798"/>
    <w:rsid w:val="00B42978"/>
    <w:rsid w:val="00B6400F"/>
    <w:rsid w:val="00B67940"/>
    <w:rsid w:val="00B70B19"/>
    <w:rsid w:val="00B8298D"/>
    <w:rsid w:val="00B94428"/>
    <w:rsid w:val="00BB11C5"/>
    <w:rsid w:val="00BD025B"/>
    <w:rsid w:val="00BD4011"/>
    <w:rsid w:val="00BF6237"/>
    <w:rsid w:val="00C01034"/>
    <w:rsid w:val="00C02F78"/>
    <w:rsid w:val="00C10C3F"/>
    <w:rsid w:val="00C10F2A"/>
    <w:rsid w:val="00C16804"/>
    <w:rsid w:val="00C27AB3"/>
    <w:rsid w:val="00C30C52"/>
    <w:rsid w:val="00C377F4"/>
    <w:rsid w:val="00C72041"/>
    <w:rsid w:val="00C77E6F"/>
    <w:rsid w:val="00C81E56"/>
    <w:rsid w:val="00C93226"/>
    <w:rsid w:val="00C9587F"/>
    <w:rsid w:val="00CA423A"/>
    <w:rsid w:val="00CA4FE3"/>
    <w:rsid w:val="00CC3DD1"/>
    <w:rsid w:val="00CE3818"/>
    <w:rsid w:val="00CF0F41"/>
    <w:rsid w:val="00D04683"/>
    <w:rsid w:val="00D21F64"/>
    <w:rsid w:val="00D23587"/>
    <w:rsid w:val="00D25DDE"/>
    <w:rsid w:val="00D347FD"/>
    <w:rsid w:val="00D65195"/>
    <w:rsid w:val="00D671FF"/>
    <w:rsid w:val="00D77E20"/>
    <w:rsid w:val="00D84C33"/>
    <w:rsid w:val="00DA4D8E"/>
    <w:rsid w:val="00DD6B94"/>
    <w:rsid w:val="00DF6821"/>
    <w:rsid w:val="00E07D90"/>
    <w:rsid w:val="00E119BA"/>
    <w:rsid w:val="00E23B12"/>
    <w:rsid w:val="00E24AC9"/>
    <w:rsid w:val="00E3087C"/>
    <w:rsid w:val="00E43FE1"/>
    <w:rsid w:val="00E47E0A"/>
    <w:rsid w:val="00E50AEC"/>
    <w:rsid w:val="00E54736"/>
    <w:rsid w:val="00E71595"/>
    <w:rsid w:val="00E93426"/>
    <w:rsid w:val="00EB2FA7"/>
    <w:rsid w:val="00EC1413"/>
    <w:rsid w:val="00EF2BC2"/>
    <w:rsid w:val="00EF4831"/>
    <w:rsid w:val="00F05580"/>
    <w:rsid w:val="00F07DAE"/>
    <w:rsid w:val="00F13B01"/>
    <w:rsid w:val="00F32D82"/>
    <w:rsid w:val="00F8196E"/>
    <w:rsid w:val="00F91BFC"/>
    <w:rsid w:val="00FA38E9"/>
    <w:rsid w:val="00FB7CD8"/>
    <w:rsid w:val="00FC1044"/>
    <w:rsid w:val="00FC2EF3"/>
    <w:rsid w:val="00FD0936"/>
    <w:rsid w:val="00FD7BB1"/>
    <w:rsid w:val="00FE1E9C"/>
    <w:rsid w:val="00FE3638"/>
    <w:rsid w:val="00FF69D0"/>
    <w:rsid w:val="033966DA"/>
    <w:rsid w:val="040B5534"/>
    <w:rsid w:val="071615F3"/>
    <w:rsid w:val="0DF970B3"/>
    <w:rsid w:val="12770E1D"/>
    <w:rsid w:val="17E35F6E"/>
    <w:rsid w:val="19EE4F74"/>
    <w:rsid w:val="1F305A5B"/>
    <w:rsid w:val="20572C09"/>
    <w:rsid w:val="206C47F8"/>
    <w:rsid w:val="234E0D00"/>
    <w:rsid w:val="26A5009B"/>
    <w:rsid w:val="29A517C6"/>
    <w:rsid w:val="2D0378C5"/>
    <w:rsid w:val="2E7275DA"/>
    <w:rsid w:val="2FF30FCB"/>
    <w:rsid w:val="31B87ED9"/>
    <w:rsid w:val="36F71723"/>
    <w:rsid w:val="42741259"/>
    <w:rsid w:val="45222789"/>
    <w:rsid w:val="46655FBF"/>
    <w:rsid w:val="4A613E40"/>
    <w:rsid w:val="4E437B18"/>
    <w:rsid w:val="4F277C90"/>
    <w:rsid w:val="5B2E203B"/>
    <w:rsid w:val="5FE43063"/>
    <w:rsid w:val="609B00F0"/>
    <w:rsid w:val="60BC1119"/>
    <w:rsid w:val="66083D3C"/>
    <w:rsid w:val="66E24D74"/>
    <w:rsid w:val="6A750ABB"/>
    <w:rsid w:val="6AEB52A7"/>
    <w:rsid w:val="702C45E9"/>
    <w:rsid w:val="73624575"/>
    <w:rsid w:val="75FD183B"/>
    <w:rsid w:val="778F4307"/>
    <w:rsid w:val="7A6A5006"/>
    <w:rsid w:val="7AFD090A"/>
    <w:rsid w:val="7E3114C6"/>
    <w:rsid w:val="7F6D39D9"/>
    <w:rsid w:val="C3DEC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等线"/>
      <w:kern w:val="2"/>
      <w:sz w:val="21"/>
      <w:szCs w:val="21"/>
      <w:lang w:val="en-US" w:eastAsia="zh-CN" w:bidi="ar-SA"/>
    </w:rPr>
  </w:style>
  <w:style w:type="character" w:default="1" w:styleId="7">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5"/>
    <w:qFormat/>
    <w:uiPriority w:val="0"/>
    <w:rPr>
      <w:b/>
      <w:bCs/>
    </w:rPr>
  </w:style>
  <w:style w:type="paragraph" w:styleId="3">
    <w:name w:val="annotation text"/>
    <w:basedOn w:val="1"/>
    <w:link w:val="14"/>
    <w:qFormat/>
    <w:uiPriority w:val="0"/>
    <w:pPr>
      <w:jc w:val="left"/>
    </w:pPr>
  </w:style>
  <w:style w:type="paragraph" w:styleId="4">
    <w:name w:val="Balloon Text"/>
    <w:basedOn w:val="1"/>
    <w:link w:val="16"/>
    <w:qFormat/>
    <w:uiPriority w:val="0"/>
    <w:rPr>
      <w:sz w:val="18"/>
      <w:szCs w:val="18"/>
    </w:rPr>
  </w:style>
  <w:style w:type="paragraph" w:styleId="5">
    <w:name w:val="footer"/>
    <w:basedOn w:val="1"/>
    <w:link w:val="12"/>
    <w:qFormat/>
    <w:uiPriority w:val="99"/>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qFormat/>
    <w:uiPriority w:val="0"/>
    <w:rPr>
      <w:sz w:val="21"/>
      <w:szCs w:val="21"/>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1">
    <w:name w:val="页眉 Char"/>
    <w:basedOn w:val="7"/>
    <w:link w:val="6"/>
    <w:qFormat/>
    <w:uiPriority w:val="0"/>
    <w:rPr>
      <w:rFonts w:ascii="等线" w:hAnsi="等线" w:eastAsia="等线" w:cs="等线"/>
      <w:kern w:val="2"/>
      <w:sz w:val="18"/>
      <w:szCs w:val="18"/>
    </w:rPr>
  </w:style>
  <w:style w:type="character" w:customStyle="1" w:styleId="12">
    <w:name w:val="页脚 Char"/>
    <w:basedOn w:val="7"/>
    <w:link w:val="5"/>
    <w:qFormat/>
    <w:uiPriority w:val="99"/>
    <w:rPr>
      <w:rFonts w:ascii="等线" w:hAnsi="等线" w:eastAsia="等线" w:cs="等线"/>
      <w:kern w:val="2"/>
      <w:sz w:val="18"/>
      <w:szCs w:val="18"/>
    </w:rPr>
  </w:style>
  <w:style w:type="paragraph" w:customStyle="1" w:styleId="13">
    <w:name w:val="List Paragraph"/>
    <w:basedOn w:val="1"/>
    <w:unhideWhenUsed/>
    <w:qFormat/>
    <w:uiPriority w:val="99"/>
    <w:pPr>
      <w:ind w:firstLine="420" w:firstLineChars="200"/>
    </w:pPr>
  </w:style>
  <w:style w:type="character" w:customStyle="1" w:styleId="14">
    <w:name w:val="批注文字 Char"/>
    <w:basedOn w:val="7"/>
    <w:link w:val="3"/>
    <w:qFormat/>
    <w:uiPriority w:val="0"/>
    <w:rPr>
      <w:rFonts w:ascii="等线" w:hAnsi="等线" w:eastAsia="等线" w:cs="等线"/>
      <w:kern w:val="2"/>
      <w:sz w:val="21"/>
      <w:szCs w:val="21"/>
    </w:rPr>
  </w:style>
  <w:style w:type="character" w:customStyle="1" w:styleId="15">
    <w:name w:val="批注主题 Char"/>
    <w:basedOn w:val="14"/>
    <w:link w:val="2"/>
    <w:qFormat/>
    <w:uiPriority w:val="0"/>
    <w:rPr>
      <w:rFonts w:ascii="等线" w:hAnsi="等线" w:eastAsia="等线" w:cs="等线"/>
      <w:b/>
      <w:bCs/>
      <w:kern w:val="2"/>
      <w:sz w:val="21"/>
      <w:szCs w:val="21"/>
    </w:rPr>
  </w:style>
  <w:style w:type="character" w:customStyle="1" w:styleId="16">
    <w:name w:val="批注框文本 Char"/>
    <w:basedOn w:val="7"/>
    <w:link w:val="4"/>
    <w:qFormat/>
    <w:uiPriority w:val="0"/>
    <w:rPr>
      <w:rFonts w:ascii="等线" w:hAnsi="等线" w:eastAsia="等线" w:cs="等线"/>
      <w:kern w:val="2"/>
      <w:sz w:val="18"/>
      <w:szCs w:val="18"/>
    </w:rPr>
  </w:style>
  <w:style w:type="character" w:customStyle="1" w:styleId="17">
    <w:name w:val="font61"/>
    <w:basedOn w:val="7"/>
    <w:qFormat/>
    <w:uiPriority w:val="0"/>
    <w:rPr>
      <w:rFonts w:ascii="仿宋_GB2312" w:eastAsia="仿宋_GB2312" w:cs="仿宋_GB2312"/>
      <w:color w:val="000000"/>
      <w:sz w:val="24"/>
      <w:szCs w:val="24"/>
      <w:u w:val="none"/>
    </w:rPr>
  </w:style>
  <w:style w:type="character" w:customStyle="1" w:styleId="18">
    <w:name w:val="font51"/>
    <w:basedOn w:val="7"/>
    <w:qFormat/>
    <w:uiPriority w:val="0"/>
    <w:rPr>
      <w:rFonts w:hint="default" w:ascii="Arial Narrow" w:hAnsi="Arial Narrow" w:eastAsia="Arial Narrow" w:cs="Arial Narrow"/>
      <w:color w:val="000000"/>
      <w:sz w:val="24"/>
      <w:szCs w:val="24"/>
      <w:u w:val="none"/>
    </w:rPr>
  </w:style>
  <w:style w:type="character" w:customStyle="1" w:styleId="19">
    <w:name w:val="font21"/>
    <w:basedOn w:val="7"/>
    <w:qFormat/>
    <w:uiPriority w:val="0"/>
    <w:rPr>
      <w:rFonts w:hint="eastAsia" w:ascii="宋体" w:hAnsi="宋体" w:eastAsia="宋体" w:cs="宋体"/>
      <w:color w:val="000000"/>
      <w:sz w:val="24"/>
      <w:szCs w:val="24"/>
      <w:u w:val="none"/>
    </w:rPr>
  </w:style>
  <w:style w:type="character" w:customStyle="1" w:styleId="20">
    <w:name w:val="font81"/>
    <w:basedOn w:val="7"/>
    <w:qFormat/>
    <w:uiPriority w:val="0"/>
    <w:rPr>
      <w:rFonts w:hint="default" w:ascii="Arial Narrow" w:hAnsi="Arial Narrow" w:eastAsia="Arial Narrow" w:cs="Arial Narrow"/>
      <w:color w:val="000000"/>
      <w:sz w:val="24"/>
      <w:szCs w:val="24"/>
      <w:u w:val="none"/>
    </w:rPr>
  </w:style>
  <w:style w:type="character" w:customStyle="1" w:styleId="21">
    <w:name w:val="font11"/>
    <w:basedOn w:val="7"/>
    <w:qFormat/>
    <w:uiPriority w:val="0"/>
    <w:rPr>
      <w:rFonts w:hint="eastAsia" w:ascii="宋体" w:hAnsi="宋体" w:eastAsia="宋体" w:cs="宋体"/>
      <w:color w:val="000000"/>
      <w:sz w:val="24"/>
      <w:szCs w:val="24"/>
      <w:u w:val="none"/>
    </w:rPr>
  </w:style>
  <w:style w:type="character" w:customStyle="1" w:styleId="22">
    <w:name w:val="font91"/>
    <w:basedOn w:val="7"/>
    <w:qFormat/>
    <w:uiPriority w:val="0"/>
    <w:rPr>
      <w:rFonts w:hint="default" w:ascii="Arial Narrow" w:hAnsi="Arial Narrow" w:eastAsia="Arial Narrow" w:cs="Arial Narrow"/>
      <w:color w:val="000000"/>
      <w:sz w:val="24"/>
      <w:szCs w:val="24"/>
      <w:u w:val="none"/>
    </w:rPr>
  </w:style>
  <w:style w:type="character" w:customStyle="1" w:styleId="23">
    <w:name w:val="font101"/>
    <w:basedOn w:val="7"/>
    <w:qFormat/>
    <w:uiPriority w:val="0"/>
    <w:rPr>
      <w:rFonts w:ascii="Arial Narrow" w:hAnsi="Arial Narrow" w:eastAsia="Arial Narrow" w:cs="Arial Narrow"/>
      <w:color w:val="000000"/>
      <w:sz w:val="24"/>
      <w:szCs w:val="24"/>
      <w:u w:val="none"/>
    </w:rPr>
  </w:style>
  <w:style w:type="character" w:customStyle="1" w:styleId="24">
    <w:name w:val="font31"/>
    <w:basedOn w:val="7"/>
    <w:qFormat/>
    <w:uiPriority w:val="0"/>
    <w:rPr>
      <w:rFonts w:hint="default" w:ascii="Arial Narrow" w:hAnsi="Arial Narrow" w:eastAsia="Arial Narrow" w:cs="Arial Narrow"/>
      <w:color w:val="000000"/>
      <w:sz w:val="24"/>
      <w:szCs w:val="24"/>
      <w:u w:val="none"/>
    </w:rPr>
  </w:style>
  <w:style w:type="character" w:customStyle="1" w:styleId="25">
    <w:name w:val="font41"/>
    <w:basedOn w:val="7"/>
    <w:qFormat/>
    <w:uiPriority w:val="0"/>
    <w:rPr>
      <w:rFonts w:hint="default" w:ascii="仿宋_GB2312" w:eastAsia="仿宋_GB2312" w:cs="仿宋_GB2312"/>
      <w:color w:val="000000"/>
      <w:sz w:val="24"/>
      <w:szCs w:val="24"/>
      <w:u w:val="none"/>
    </w:rPr>
  </w:style>
  <w:style w:type="character" w:customStyle="1" w:styleId="26">
    <w:name w:val="font71"/>
    <w:basedOn w:val="7"/>
    <w:qFormat/>
    <w:uiPriority w:val="0"/>
    <w:rPr>
      <w:rFonts w:hint="default" w:ascii="仿宋_GB2312" w:eastAsia="仿宋_GB2312" w:cs="仿宋_GB2312"/>
      <w:color w:val="000000"/>
      <w:sz w:val="24"/>
      <w:szCs w:val="24"/>
      <w:u w:val="none"/>
    </w:rPr>
  </w:style>
  <w:style w:type="character" w:customStyle="1" w:styleId="27">
    <w:name w:val="font12"/>
    <w:basedOn w:val="7"/>
    <w:qFormat/>
    <w:uiPriority w:val="0"/>
    <w:rPr>
      <w:rFonts w:hint="default" w:ascii="Arial Narrow" w:hAnsi="Arial Narrow" w:eastAsia="Arial Narrow" w:cs="Arial Narrow"/>
      <w:color w:val="000000"/>
      <w:sz w:val="24"/>
      <w:szCs w:val="24"/>
      <w:u w:val="none"/>
    </w:rPr>
  </w:style>
  <w:style w:type="character" w:customStyle="1" w:styleId="28">
    <w:name w:val="font121"/>
    <w:basedOn w:val="7"/>
    <w:qFormat/>
    <w:uiPriority w:val="0"/>
    <w:rPr>
      <w:rFonts w:hint="default" w:ascii="Arial Narrow" w:hAnsi="Arial Narrow" w:eastAsia="Arial Narrow" w:cs="Arial Narrow"/>
      <w:color w:val="000000"/>
      <w:sz w:val="24"/>
      <w:szCs w:val="24"/>
      <w:u w:val="none"/>
    </w:rPr>
  </w:style>
  <w:style w:type="character" w:customStyle="1" w:styleId="29">
    <w:name w:val="font112"/>
    <w:basedOn w:val="7"/>
    <w:qFormat/>
    <w:uiPriority w:val="0"/>
    <w:rPr>
      <w:rFonts w:hint="default" w:ascii="仿宋_GB2312" w:eastAsia="仿宋_GB2312" w:cs="仿宋_GB2312"/>
      <w:color w:val="000000"/>
      <w:sz w:val="24"/>
      <w:szCs w:val="24"/>
      <w:u w:val="none"/>
    </w:rPr>
  </w:style>
  <w:style w:type="character" w:customStyle="1" w:styleId="30">
    <w:name w:val="font01"/>
    <w:basedOn w:val="7"/>
    <w:qFormat/>
    <w:uiPriority w:val="0"/>
    <w:rPr>
      <w:rFonts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36</Pages>
  <Words>18494</Words>
  <Characters>20060</Characters>
  <Lines>134</Lines>
  <Paragraphs>37</Paragraphs>
  <TotalTime>1</TotalTime>
  <ScaleCrop>false</ScaleCrop>
  <LinksUpToDate>false</LinksUpToDate>
  <CharactersWithSpaces>20063</CharactersWithSpaces>
  <Application>WPS Office_10.8.0.7057_F1E327BC-269C-435d-A152-05C5408002CA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2021-01-13T16:27:00Z</dcterms:created>
  <dc:creator>王黎玲</dc:creator>
  <cp:lastModifiedBy>zxuser</cp:lastModifiedBy>
  <dcterms:modified xsi:type="dcterms:W3CDTF">2021-09-06T15:43:24Z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2052-10.8.0.7057</vt:lpwstr>
  </property>
  <property fmtid="{D5CDD505-2E9C-101B-9397-08002B2CF9AE}" pid="3" name="KSOSaveFontToCloudKey">
    <vt:lpwstr>549997545_btnclosed</vt:lpwstr>
  </property>
  <property fmtid="{D5CDD505-2E9C-101B-9397-08002B2CF9AE}" pid="4" name="ICV">
    <vt:lpwstr>922E3D3BF67843CAA7CA722631646355</vt:lpwstr>
  </property>
</Properties>
</file>