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outlineLvl w:val="0"/>
        <w:rPr>
          <w:rFonts w:ascii="Arial Narrow" w:hAnsi="Arial Narrow" w:eastAsia="黑体" w:cs="黑体"/>
          <w:sz w:val="28"/>
          <w:szCs w:val="28"/>
        </w:rPr>
      </w:pPr>
      <w:bookmarkStart w:id="0" w:name="_GoBack"/>
      <w:bookmarkEnd w:id="0"/>
      <w:r>
        <w:rPr>
          <w:rFonts w:ascii="Arial Narrow" w:hAnsi="Arial Narrow" w:eastAsia="黑体" w:cs="黑体"/>
          <w:sz w:val="28"/>
          <w:szCs w:val="28"/>
        </w:rPr>
        <w:t>附件：</w:t>
      </w:r>
    </w:p>
    <w:p>
      <w:pPr>
        <w:jc w:val="center"/>
        <w:rPr>
          <w:rFonts w:ascii="Arial Narrow" w:hAnsi="Arial Narrow" w:eastAsia="方正小标宋简体" w:cs="方正小标宋简体"/>
          <w:sz w:val="36"/>
          <w:szCs w:val="36"/>
        </w:rPr>
      </w:pPr>
      <w:r>
        <w:rPr>
          <w:rFonts w:ascii="Arial Narrow" w:hAnsi="Arial Narrow" w:eastAsia="方正小标宋简体" w:cs="方正小标宋简体"/>
          <w:sz w:val="36"/>
          <w:szCs w:val="36"/>
        </w:rPr>
        <w:t>2020年度</w:t>
      </w:r>
      <w:r>
        <w:rPr>
          <w:rFonts w:hint="eastAsia" w:ascii="Arial Narrow" w:hAnsi="Arial Narrow" w:eastAsia="方正小标宋简体" w:cs="方正小标宋简体"/>
          <w:sz w:val="36"/>
          <w:szCs w:val="36"/>
        </w:rPr>
        <w:t>湖北省政协办公厅</w:t>
      </w:r>
    </w:p>
    <w:p>
      <w:pPr>
        <w:jc w:val="center"/>
        <w:rPr>
          <w:rFonts w:ascii="Arial Narrow" w:hAnsi="Arial Narrow" w:eastAsia="方正小标宋简体" w:cs="Times New Roman"/>
          <w:sz w:val="36"/>
          <w:szCs w:val="36"/>
        </w:rPr>
      </w:pPr>
      <w:r>
        <w:rPr>
          <w:rFonts w:ascii="Arial Narrow" w:hAnsi="Arial Narrow" w:eastAsia="方正小标宋简体" w:cs="方正小标宋简体"/>
          <w:sz w:val="36"/>
          <w:szCs w:val="36"/>
        </w:rPr>
        <w:t>部门整体绩效自评表</w:t>
      </w:r>
    </w:p>
    <w:p>
      <w:pPr>
        <w:widowControl/>
        <w:spacing w:before="156" w:beforeLines="50"/>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单位名称：</w:t>
      </w:r>
      <w:r>
        <w:rPr>
          <w:rFonts w:hint="eastAsia" w:ascii="Arial Narrow" w:hAnsi="Arial Narrow" w:eastAsia="楷体_GB2312" w:cs="楷体_GB2312"/>
          <w:kern w:val="0"/>
          <w:sz w:val="28"/>
          <w:szCs w:val="28"/>
        </w:rPr>
        <w:t>湖北省政协办公厅</w:t>
      </w:r>
    </w:p>
    <w:p>
      <w:pPr>
        <w:widowControl/>
        <w:jc w:val="left"/>
        <w:outlineLvl w:val="0"/>
        <w:rPr>
          <w:rFonts w:ascii="Arial Narrow" w:hAnsi="Arial Narrow" w:eastAsia="楷体_GB2312" w:cs="Times New Roman"/>
          <w:kern w:val="0"/>
          <w:sz w:val="48"/>
          <w:szCs w:val="48"/>
        </w:rPr>
      </w:pPr>
      <w:r>
        <w:rPr>
          <w:rFonts w:ascii="Arial Narrow" w:hAnsi="Arial Narrow" w:eastAsia="楷体_GB2312" w:cs="楷体_GB2312"/>
          <w:kern w:val="0"/>
          <w:sz w:val="28"/>
          <w:szCs w:val="28"/>
        </w:rPr>
        <w:t>填报日期：2021年4月2</w:t>
      </w:r>
      <w:r>
        <w:rPr>
          <w:rFonts w:hint="eastAsia" w:ascii="Arial Narrow" w:hAnsi="Arial Narrow" w:eastAsia="楷体_GB2312" w:cs="楷体_GB2312"/>
          <w:kern w:val="0"/>
          <w:sz w:val="28"/>
          <w:szCs w:val="28"/>
        </w:rPr>
        <w:t>6</w:t>
      </w:r>
      <w:r>
        <w:rPr>
          <w:rFonts w:ascii="Arial Narrow" w:hAnsi="Arial Narrow" w:eastAsia="楷体_GB2312" w:cs="楷体_GB2312"/>
          <w:kern w:val="0"/>
          <w:sz w:val="28"/>
          <w:szCs w:val="28"/>
        </w:rPr>
        <w:t>日</w:t>
      </w:r>
    </w:p>
    <w:tbl>
      <w:tblPr>
        <w:tblStyle w:val="10"/>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653"/>
        <w:gridCol w:w="1324"/>
        <w:gridCol w:w="1253"/>
        <w:gridCol w:w="1441"/>
        <w:gridCol w:w="1282"/>
        <w:gridCol w:w="1341"/>
        <w:gridCol w:w="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429"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单位名称</w:t>
            </w:r>
          </w:p>
        </w:tc>
        <w:tc>
          <w:tcPr>
            <w:tcW w:w="7519" w:type="dxa"/>
            <w:gridSpan w:val="6"/>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湖北省政协办公厅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429"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基本支出</w:t>
            </w:r>
          </w:p>
          <w:p>
            <w:pPr>
              <w:widowControl/>
              <w:jc w:val="center"/>
              <w:rPr>
                <w:rFonts w:ascii="Arial Narrow" w:hAnsi="Arial Narrow" w:eastAsia="仿宋_GB2312" w:cs="Arial Narrow"/>
                <w:kern w:val="0"/>
              </w:rPr>
            </w:pPr>
            <w:r>
              <w:rPr>
                <w:rFonts w:ascii="Arial Narrow" w:hAnsi="Arial Narrow" w:eastAsia="仿宋_GB2312" w:cs="Arial Narrow"/>
                <w:kern w:val="0"/>
              </w:rPr>
              <w:t>总额</w:t>
            </w:r>
          </w:p>
        </w:tc>
        <w:tc>
          <w:tcPr>
            <w:tcW w:w="2577" w:type="dxa"/>
            <w:gridSpan w:val="2"/>
            <w:vAlign w:val="center"/>
          </w:tcPr>
          <w:p>
            <w:pPr>
              <w:widowControl/>
              <w:jc w:val="center"/>
              <w:rPr>
                <w:rFonts w:ascii="Arial Narrow" w:hAnsi="Arial Narrow" w:eastAsia="仿宋_GB2312" w:cs="Arial Narrow"/>
                <w:kern w:val="0"/>
              </w:rPr>
            </w:pPr>
            <w:r>
              <w:rPr>
                <w:rFonts w:hint="eastAsia" w:ascii="Arial Narrow" w:hAnsi="Arial Narrow" w:eastAsia="仿宋_GB2312" w:cs="Arial Narrow"/>
                <w:kern w:val="0"/>
              </w:rPr>
              <w:t>7,329.41</w:t>
            </w:r>
            <w:r>
              <w:rPr>
                <w:rFonts w:ascii="Arial Narrow" w:hAnsi="Arial Narrow" w:eastAsia="仿宋_GB2312" w:cs="Arial Narrow"/>
                <w:kern w:val="0"/>
              </w:rPr>
              <w:t>万元</w:t>
            </w:r>
          </w:p>
        </w:tc>
        <w:tc>
          <w:tcPr>
            <w:tcW w:w="2723"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项目支出总额</w:t>
            </w:r>
          </w:p>
        </w:tc>
        <w:tc>
          <w:tcPr>
            <w:tcW w:w="2219" w:type="dxa"/>
            <w:gridSpan w:val="2"/>
            <w:vAlign w:val="center"/>
          </w:tcPr>
          <w:p>
            <w:pPr>
              <w:widowControl/>
              <w:jc w:val="center"/>
              <w:rPr>
                <w:rFonts w:ascii="Arial Narrow" w:hAnsi="Arial Narrow" w:eastAsia="仿宋_GB2312" w:cs="Arial Narrow"/>
                <w:kern w:val="0"/>
              </w:rPr>
            </w:pPr>
            <w:r>
              <w:rPr>
                <w:rFonts w:hint="eastAsia" w:ascii="Arial Narrow" w:hAnsi="Arial Narrow" w:eastAsia="仿宋_GB2312" w:cs="Arial Narrow"/>
                <w:kern w:val="0"/>
              </w:rPr>
              <w:t>3,839.47</w:t>
            </w:r>
            <w:r>
              <w:rPr>
                <w:rFonts w:ascii="Arial Narrow" w:hAnsi="Arial Narrow" w:eastAsia="仿宋_GB2312" w:cs="Arial Narrow"/>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429" w:type="dxa"/>
            <w:gridSpan w:val="2"/>
            <w:vMerge w:val="restart"/>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预算执行情况（万元）</w:t>
            </w:r>
          </w:p>
          <w:p>
            <w:pPr>
              <w:widowControl/>
              <w:jc w:val="center"/>
              <w:rPr>
                <w:rFonts w:ascii="Arial Narrow" w:hAnsi="Arial Narrow" w:eastAsia="仿宋_GB2312" w:cs="Arial Narrow"/>
                <w:kern w:val="0"/>
              </w:rPr>
            </w:pPr>
            <w:r>
              <w:rPr>
                <w:rFonts w:ascii="Arial Narrow" w:hAnsi="Arial Narrow" w:eastAsia="仿宋_GB2312" w:cs="Arial Narrow"/>
                <w:kern w:val="0"/>
              </w:rPr>
              <w:t>（20分）</w:t>
            </w:r>
          </w:p>
        </w:tc>
        <w:tc>
          <w:tcPr>
            <w:tcW w:w="1324" w:type="dxa"/>
            <w:vAlign w:val="center"/>
          </w:tcPr>
          <w:p>
            <w:pPr>
              <w:widowControl/>
              <w:jc w:val="center"/>
              <w:rPr>
                <w:rFonts w:ascii="Arial Narrow" w:hAnsi="Arial Narrow" w:eastAsia="仿宋_GB2312" w:cs="Arial Narrow"/>
                <w:kern w:val="0"/>
              </w:rPr>
            </w:pPr>
          </w:p>
        </w:tc>
        <w:tc>
          <w:tcPr>
            <w:tcW w:w="1253"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预算数（A）</w:t>
            </w:r>
          </w:p>
        </w:tc>
        <w:tc>
          <w:tcPr>
            <w:tcW w:w="1441"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执行数（B）</w:t>
            </w:r>
          </w:p>
        </w:tc>
        <w:tc>
          <w:tcPr>
            <w:tcW w:w="1282"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执行率（B/A）</w:t>
            </w:r>
          </w:p>
        </w:tc>
        <w:tc>
          <w:tcPr>
            <w:tcW w:w="2219"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得分</w:t>
            </w:r>
          </w:p>
          <w:p>
            <w:pPr>
              <w:widowControl/>
              <w:jc w:val="center"/>
              <w:rPr>
                <w:rFonts w:ascii="Arial Narrow" w:hAnsi="Arial Narrow" w:eastAsia="仿宋_GB2312" w:cs="Arial Narrow"/>
                <w:kern w:val="0"/>
              </w:rPr>
            </w:pPr>
            <w:r>
              <w:rPr>
                <w:rFonts w:ascii="Arial Narrow" w:hAnsi="Arial Narrow" w:eastAsia="仿宋_GB2312" w:cs="Arial Narrow"/>
                <w:kern w:val="0"/>
              </w:rPr>
              <w:t>（20分*执行率）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429" w:type="dxa"/>
            <w:gridSpan w:val="2"/>
            <w:vMerge w:val="continue"/>
            <w:vAlign w:val="center"/>
          </w:tcPr>
          <w:p>
            <w:pPr>
              <w:widowControl/>
              <w:jc w:val="center"/>
              <w:rPr>
                <w:rFonts w:ascii="Arial Narrow" w:hAnsi="Arial Narrow" w:eastAsia="仿宋_GB2312" w:cs="Arial Narrow"/>
                <w:kern w:val="0"/>
              </w:rPr>
            </w:pPr>
          </w:p>
        </w:tc>
        <w:tc>
          <w:tcPr>
            <w:tcW w:w="1324"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部门整体支出总额</w:t>
            </w:r>
          </w:p>
        </w:tc>
        <w:tc>
          <w:tcPr>
            <w:tcW w:w="1253"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12,463.97</w:t>
            </w:r>
          </w:p>
        </w:tc>
        <w:tc>
          <w:tcPr>
            <w:tcW w:w="1441"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11,168.88</w:t>
            </w:r>
          </w:p>
        </w:tc>
        <w:tc>
          <w:tcPr>
            <w:tcW w:w="1282"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89.61%</w:t>
            </w:r>
          </w:p>
        </w:tc>
        <w:tc>
          <w:tcPr>
            <w:tcW w:w="2219"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17.92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jc w:val="center"/>
        </w:trPr>
        <w:tc>
          <w:tcPr>
            <w:tcW w:w="1429"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年度绩效目标1：（</w:t>
            </w:r>
            <w:r>
              <w:rPr>
                <w:rFonts w:hint="eastAsia" w:ascii="Arial Narrow" w:hAnsi="Arial Narrow" w:eastAsia="仿宋_GB2312" w:cs="Arial Narrow"/>
                <w:kern w:val="0"/>
              </w:rPr>
              <w:t>18.5</w:t>
            </w:r>
            <w:r>
              <w:rPr>
                <w:rFonts w:ascii="Arial Narrow" w:hAnsi="Arial Narrow" w:eastAsia="仿宋_GB2312" w:cs="Arial Narrow"/>
                <w:kern w:val="0"/>
              </w:rPr>
              <w:t>分）</w:t>
            </w:r>
          </w:p>
        </w:tc>
        <w:tc>
          <w:tcPr>
            <w:tcW w:w="7519" w:type="dxa"/>
            <w:gridSpan w:val="6"/>
            <w:vAlign w:val="center"/>
          </w:tcPr>
          <w:p>
            <w:pPr>
              <w:widowControl/>
              <w:jc w:val="left"/>
              <w:rPr>
                <w:rFonts w:ascii="Arial Narrow" w:hAnsi="Arial Narrow" w:eastAsia="仿宋_GB2312" w:cs="Arial Narrow"/>
                <w:kern w:val="0"/>
              </w:rPr>
            </w:pPr>
            <w:r>
              <w:rPr>
                <w:rFonts w:hint="eastAsia" w:ascii="Arial Narrow" w:hAnsi="Arial Narrow" w:eastAsia="仿宋_GB2312" w:cs="Arial Narrow"/>
                <w:kern w:val="0"/>
              </w:rPr>
              <w:t>1、</w:t>
            </w:r>
            <w:r>
              <w:rPr>
                <w:rFonts w:ascii="Arial Narrow" w:hAnsi="Arial Narrow" w:eastAsia="仿宋_GB2312" w:cs="Arial Narrow"/>
                <w:kern w:val="0"/>
              </w:rPr>
              <w:t>召开省政协十二届三次会议</w:t>
            </w:r>
            <w:r>
              <w:rPr>
                <w:rFonts w:hint="eastAsia" w:ascii="Arial Narrow" w:hAnsi="Arial Narrow" w:eastAsia="仿宋_GB2312" w:cs="Arial Narrow"/>
                <w:kern w:val="0"/>
              </w:rPr>
              <w:t>，</w:t>
            </w:r>
            <w:r>
              <w:rPr>
                <w:rFonts w:ascii="Arial Narrow" w:hAnsi="Arial Narrow" w:eastAsia="仿宋_GB2312" w:cs="Arial Narrow"/>
                <w:kern w:val="0"/>
              </w:rPr>
              <w:t>听取和审议常务委员会的工作报告；讨论并通过有关的决议；参与对国家和地方事务的重要问题的讨论，提出建议和批评。</w:t>
            </w:r>
          </w:p>
          <w:p>
            <w:pPr>
              <w:widowControl/>
              <w:jc w:val="left"/>
              <w:rPr>
                <w:rFonts w:ascii="Arial Narrow" w:hAnsi="Arial Narrow" w:eastAsia="仿宋_GB2312" w:cs="Arial Narrow"/>
                <w:kern w:val="0"/>
              </w:rPr>
            </w:pPr>
            <w:r>
              <w:rPr>
                <w:rFonts w:hint="eastAsia" w:ascii="Arial Narrow" w:hAnsi="Arial Narrow" w:eastAsia="仿宋_GB2312" w:cs="Arial Narrow"/>
                <w:kern w:val="0"/>
              </w:rPr>
              <w:t>2、</w:t>
            </w:r>
            <w:r>
              <w:rPr>
                <w:rFonts w:ascii="Arial Narrow" w:hAnsi="Arial Narrow" w:eastAsia="仿宋_GB2312" w:cs="Arial Narrow"/>
                <w:kern w:val="0"/>
              </w:rPr>
              <w:t>团结全省人民政协的各民主党派人士、各人民团体和各族各界人士，使之在政治上、思想上、行动上，与中共中央、湖北省委保持高度一致。在爱国主义和社会主义旗帜下，坚持和发展中国特色社会主义，为实现中华民族伟大复兴的中国梦的湖北篇而团结奋斗。充分发挥政协作为各党派团体和各族各界人士发扬民主、参与国是、团结合作的重要平台作用，努力形成社会共识、增进社会团结、维护社会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restart"/>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年度绩效指标</w:t>
            </w:r>
          </w:p>
        </w:tc>
        <w:tc>
          <w:tcPr>
            <w:tcW w:w="653" w:type="dxa"/>
            <w:vAlign w:val="center"/>
          </w:tcPr>
          <w:p>
            <w:pPr>
              <w:spacing w:line="300" w:lineRule="exact"/>
              <w:jc w:val="center"/>
              <w:rPr>
                <w:rFonts w:ascii="Arial Narrow" w:hAnsi="Arial Narrow" w:eastAsia="仿宋_GB2312" w:cs="Arial Narrow"/>
                <w:kern w:val="0"/>
              </w:rPr>
            </w:pPr>
            <w:r>
              <w:rPr>
                <w:rFonts w:ascii="Arial Narrow" w:hAnsi="Arial Narrow" w:eastAsia="仿宋_GB2312" w:cs="Arial Narrow"/>
                <w:kern w:val="0"/>
              </w:rPr>
              <w:t>一级指标</w:t>
            </w:r>
          </w:p>
        </w:tc>
        <w:tc>
          <w:tcPr>
            <w:tcW w:w="1324"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二级指标</w:t>
            </w:r>
          </w:p>
        </w:tc>
        <w:tc>
          <w:tcPr>
            <w:tcW w:w="2694" w:type="dxa"/>
            <w:gridSpan w:val="2"/>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三级指标</w:t>
            </w:r>
          </w:p>
        </w:tc>
        <w:tc>
          <w:tcPr>
            <w:tcW w:w="1282"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年初目标值（A）</w:t>
            </w:r>
          </w:p>
        </w:tc>
        <w:tc>
          <w:tcPr>
            <w:tcW w:w="1341"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实际完成值（B）</w:t>
            </w:r>
          </w:p>
        </w:tc>
        <w:tc>
          <w:tcPr>
            <w:tcW w:w="878"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restart"/>
            <w:vAlign w:val="center"/>
          </w:tcPr>
          <w:p>
            <w:pPr>
              <w:widowControl/>
              <w:spacing w:line="300" w:lineRule="exact"/>
              <w:jc w:val="center"/>
              <w:textAlignment w:val="center"/>
              <w:rPr>
                <w:rFonts w:ascii="Arial Narrow" w:hAnsi="Arial Narrow" w:eastAsia="仿宋_GB2312" w:cs="Arial Narrow"/>
                <w:kern w:val="0"/>
              </w:rPr>
            </w:pPr>
            <w:r>
              <w:rPr>
                <w:rStyle w:val="18"/>
                <w:rFonts w:ascii="Arial Narrow" w:hAnsi="Arial Narrow" w:cs="Arial Narrow"/>
                <w:color w:val="auto"/>
                <w:sz w:val="21"/>
                <w:szCs w:val="21"/>
                <w:lang w:bidi="ar"/>
              </w:rPr>
              <w:t>产出指标</w:t>
            </w: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数量指标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十二届三次会议大会到会率（</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90%</w:t>
            </w:r>
          </w:p>
        </w:tc>
        <w:tc>
          <w:tcPr>
            <w:tcW w:w="1341"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93.86%</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spacing w:line="300" w:lineRule="exact"/>
              <w:jc w:val="center"/>
              <w:rPr>
                <w:rFonts w:ascii="Arial Narrow" w:hAnsi="Arial Narrow" w:eastAsia="仿宋_GB2312" w:cs="Arial Narrow"/>
                <w:kern w:val="0"/>
              </w:rPr>
            </w:pP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数量指标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委员会议递交提案比例</w:t>
            </w:r>
          </w:p>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（2分）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80%</w:t>
            </w:r>
          </w:p>
        </w:tc>
        <w:tc>
          <w:tcPr>
            <w:tcW w:w="1341"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93.45</w:t>
            </w:r>
            <w:r>
              <w:rPr>
                <w:rFonts w:ascii="Arial Narrow" w:hAnsi="Arial Narrow" w:eastAsia="仿宋_GB2312" w:cs="Arial Narrow"/>
                <w:kern w:val="0"/>
                <w:lang w:bidi="ar"/>
              </w:rPr>
              <w:t>%</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2</w:t>
            </w:r>
            <w:r>
              <w:rPr>
                <w:rFonts w:hint="eastAsia"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spacing w:line="300" w:lineRule="exact"/>
              <w:jc w:val="center"/>
              <w:rPr>
                <w:rFonts w:ascii="Arial Narrow" w:hAnsi="Arial Narrow" w:eastAsia="仿宋_GB2312" w:cs="Arial Narrow"/>
                <w:kern w:val="0"/>
              </w:rPr>
            </w:pP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数量指标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协作研讨类会议次数</w:t>
            </w:r>
          </w:p>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（1.5分）</w:t>
            </w:r>
          </w:p>
        </w:tc>
        <w:tc>
          <w:tcPr>
            <w:tcW w:w="1282"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12次</w:t>
            </w:r>
          </w:p>
        </w:tc>
        <w:tc>
          <w:tcPr>
            <w:tcW w:w="1341"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12次</w:t>
            </w:r>
          </w:p>
        </w:tc>
        <w:tc>
          <w:tcPr>
            <w:tcW w:w="878"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 xml:space="preserve">1.50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spacing w:line="300" w:lineRule="exact"/>
              <w:jc w:val="center"/>
              <w:rPr>
                <w:rFonts w:ascii="Arial Narrow" w:hAnsi="Arial Narrow" w:eastAsia="仿宋_GB2312" w:cs="Arial Narrow"/>
                <w:kern w:val="0"/>
              </w:rPr>
            </w:pPr>
          </w:p>
        </w:tc>
        <w:tc>
          <w:tcPr>
            <w:tcW w:w="1324"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团结联谊类会议次数</w:t>
            </w:r>
          </w:p>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（1.5分）</w:t>
            </w:r>
          </w:p>
        </w:tc>
        <w:tc>
          <w:tcPr>
            <w:tcW w:w="1282"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1次</w:t>
            </w:r>
          </w:p>
        </w:tc>
        <w:tc>
          <w:tcPr>
            <w:tcW w:w="1341"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0次</w:t>
            </w:r>
          </w:p>
        </w:tc>
        <w:tc>
          <w:tcPr>
            <w:tcW w:w="878"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spacing w:line="300" w:lineRule="exact"/>
              <w:jc w:val="center"/>
              <w:rPr>
                <w:rFonts w:ascii="Arial Narrow" w:hAnsi="Arial Narrow" w:eastAsia="仿宋_GB2312" w:cs="Arial Narrow"/>
                <w:kern w:val="0"/>
              </w:rPr>
            </w:pPr>
          </w:p>
        </w:tc>
        <w:tc>
          <w:tcPr>
            <w:tcW w:w="1324"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协商议政类会议次数</w:t>
            </w:r>
          </w:p>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（1.5分）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15次</w:t>
            </w:r>
          </w:p>
        </w:tc>
        <w:tc>
          <w:tcPr>
            <w:tcW w:w="1341"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15</w:t>
            </w:r>
            <w:r>
              <w:rPr>
                <w:rFonts w:ascii="Arial Narrow" w:hAnsi="Arial Narrow" w:eastAsia="仿宋_GB2312" w:cs="Arial Narrow"/>
                <w:kern w:val="0"/>
                <w:lang w:bidi="ar"/>
              </w:rPr>
              <w:t>次</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1.50</w:t>
            </w:r>
            <w:r>
              <w:rPr>
                <w:rFonts w:ascii="Arial Narrow" w:hAnsi="Arial Narrow" w:eastAsia="仿宋_GB2312" w:cs="Arial Narrow"/>
                <w:kern w:val="0"/>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widowControl/>
              <w:jc w:val="center"/>
              <w:rPr>
                <w:rFonts w:ascii="Arial Narrow" w:hAnsi="Arial Narrow" w:eastAsia="仿宋_GB2312" w:cs="Arial Narrow"/>
                <w:kern w:val="0"/>
              </w:rPr>
            </w:pPr>
          </w:p>
        </w:tc>
        <w:tc>
          <w:tcPr>
            <w:tcW w:w="653" w:type="dxa"/>
            <w:vMerge w:val="continue"/>
            <w:vAlign w:val="center"/>
          </w:tcPr>
          <w:p>
            <w:pPr>
              <w:spacing w:line="300" w:lineRule="exact"/>
              <w:jc w:val="center"/>
              <w:rPr>
                <w:rFonts w:ascii="Arial Narrow" w:hAnsi="Arial Narrow" w:eastAsia="仿宋_GB2312" w:cs="Arial Narrow"/>
                <w:kern w:val="0"/>
              </w:rPr>
            </w:pP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成本指标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人均每天支出金额（2分）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按会议预算执行</w:t>
            </w:r>
          </w:p>
        </w:tc>
        <w:tc>
          <w:tcPr>
            <w:tcW w:w="1341" w:type="dxa"/>
            <w:vAlign w:val="center"/>
          </w:tcPr>
          <w:p>
            <w:pPr>
              <w:spacing w:line="300" w:lineRule="exact"/>
              <w:jc w:val="center"/>
              <w:rPr>
                <w:rFonts w:ascii="Arial Narrow" w:hAnsi="Arial Narrow" w:eastAsia="仿宋_GB2312" w:cs="Arial Narrow"/>
                <w:kern w:val="0"/>
              </w:rPr>
            </w:pPr>
            <w:r>
              <w:rPr>
                <w:rFonts w:ascii="Arial Narrow" w:hAnsi="Arial Narrow" w:eastAsia="仿宋_GB2312" w:cs="Arial Narrow"/>
                <w:kern w:val="0"/>
              </w:rPr>
              <w:t>按会议预算执行</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2</w:t>
            </w:r>
            <w:r>
              <w:rPr>
                <w:rFonts w:hint="eastAsia"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widowControl/>
              <w:jc w:val="center"/>
              <w:rPr>
                <w:rFonts w:ascii="Arial Narrow" w:hAnsi="Arial Narrow" w:eastAsia="仿宋_GB2312" w:cs="Arial Narrow"/>
                <w:kern w:val="0"/>
              </w:rPr>
            </w:pPr>
          </w:p>
        </w:tc>
        <w:tc>
          <w:tcPr>
            <w:tcW w:w="653" w:type="dxa"/>
            <w:vMerge w:val="restart"/>
            <w:vAlign w:val="center"/>
          </w:tcPr>
          <w:p>
            <w:pPr>
              <w:widowControl/>
              <w:spacing w:line="300" w:lineRule="exact"/>
              <w:jc w:val="center"/>
              <w:textAlignment w:val="center"/>
              <w:rPr>
                <w:rFonts w:ascii="Arial Narrow" w:hAnsi="Arial Narrow" w:eastAsia="仿宋_GB2312" w:cs="Arial Narrow"/>
                <w:kern w:val="0"/>
              </w:rPr>
            </w:pPr>
            <w:r>
              <w:rPr>
                <w:rStyle w:val="18"/>
                <w:rFonts w:ascii="Arial Narrow" w:hAnsi="Arial Narrow" w:cs="Arial Narrow"/>
                <w:color w:val="auto"/>
                <w:sz w:val="21"/>
                <w:szCs w:val="21"/>
                <w:lang w:bidi="ar"/>
              </w:rPr>
              <w:t>效益指标</w:t>
            </w:r>
          </w:p>
        </w:tc>
        <w:tc>
          <w:tcPr>
            <w:tcW w:w="1324" w:type="dxa"/>
            <w:vAlign w:val="center"/>
          </w:tcPr>
          <w:p>
            <w:pPr>
              <w:widowControl/>
              <w:spacing w:line="300" w:lineRule="exact"/>
              <w:jc w:val="center"/>
              <w:textAlignment w:val="center"/>
              <w:rPr>
                <w:rStyle w:val="31"/>
                <w:rFonts w:ascii="Arial Narrow" w:hAnsi="Arial Narrow" w:cs="Arial Narrow"/>
                <w:color w:val="auto"/>
                <w:sz w:val="21"/>
                <w:szCs w:val="21"/>
                <w:lang w:bidi="ar"/>
              </w:rPr>
            </w:pPr>
            <w:r>
              <w:rPr>
                <w:rStyle w:val="31"/>
                <w:rFonts w:ascii="Arial Narrow" w:hAnsi="Arial Narrow" w:cs="Arial Narrow"/>
                <w:color w:val="auto"/>
                <w:sz w:val="21"/>
                <w:szCs w:val="21"/>
                <w:lang w:bidi="ar"/>
              </w:rPr>
              <w:t>社会效益</w:t>
            </w:r>
          </w:p>
          <w:p>
            <w:pPr>
              <w:widowControl/>
              <w:spacing w:line="300" w:lineRule="exact"/>
              <w:jc w:val="center"/>
              <w:textAlignment w:val="center"/>
              <w:rPr>
                <w:rFonts w:ascii="Arial Narrow" w:hAnsi="Arial Narrow" w:eastAsia="仿宋_GB2312" w:cs="Arial Narrow"/>
                <w:kern w:val="0"/>
              </w:rPr>
            </w:pPr>
            <w:r>
              <w:rPr>
                <w:rStyle w:val="31"/>
                <w:rFonts w:ascii="Arial Narrow" w:hAnsi="Arial Narrow" w:cs="Arial Narrow"/>
                <w:color w:val="auto"/>
                <w:sz w:val="21"/>
                <w:szCs w:val="21"/>
                <w:lang w:bidi="ar"/>
              </w:rPr>
              <w:t>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发挥政协在国家治理中的作用（</w:t>
            </w:r>
            <w:r>
              <w:rPr>
                <w:rFonts w:hint="eastAsia" w:ascii="Arial Narrow" w:hAnsi="Arial Narrow" w:eastAsia="仿宋_GB2312" w:cs="Arial Narrow"/>
                <w:kern w:val="0"/>
                <w:lang w:bidi="ar"/>
              </w:rPr>
              <w:t>4</w:t>
            </w:r>
            <w:r>
              <w:rPr>
                <w:rFonts w:ascii="Arial Narrow" w:hAnsi="Arial Narrow" w:eastAsia="仿宋_GB2312" w:cs="Arial Narrow"/>
                <w:kern w:val="0"/>
                <w:lang w:bidi="ar"/>
              </w:rPr>
              <w:t>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效果显著</w:t>
            </w:r>
          </w:p>
        </w:tc>
        <w:tc>
          <w:tcPr>
            <w:tcW w:w="1341"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100%</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76" w:type="dxa"/>
            <w:vMerge w:val="continue"/>
            <w:vAlign w:val="center"/>
          </w:tcPr>
          <w:p>
            <w:pPr>
              <w:widowControl/>
              <w:jc w:val="center"/>
              <w:rPr>
                <w:rFonts w:ascii="Arial Narrow" w:hAnsi="Arial Narrow" w:eastAsia="仿宋_GB2312" w:cs="Arial Narrow"/>
                <w:kern w:val="0"/>
              </w:rPr>
            </w:pPr>
          </w:p>
        </w:tc>
        <w:tc>
          <w:tcPr>
            <w:tcW w:w="653" w:type="dxa"/>
            <w:vMerge w:val="continue"/>
            <w:vAlign w:val="center"/>
          </w:tcPr>
          <w:p>
            <w:pPr>
              <w:widowControl/>
              <w:spacing w:line="300" w:lineRule="exact"/>
              <w:jc w:val="center"/>
              <w:textAlignment w:val="center"/>
              <w:rPr>
                <w:rStyle w:val="18"/>
                <w:rFonts w:ascii="Arial Narrow" w:hAnsi="Arial Narrow" w:cs="Arial Narrow"/>
                <w:color w:val="auto"/>
                <w:sz w:val="21"/>
                <w:szCs w:val="21"/>
                <w:lang w:bidi="ar"/>
              </w:rPr>
            </w:pPr>
          </w:p>
        </w:tc>
        <w:tc>
          <w:tcPr>
            <w:tcW w:w="1324" w:type="dxa"/>
            <w:vAlign w:val="center"/>
          </w:tcPr>
          <w:p>
            <w:pPr>
              <w:widowControl/>
              <w:spacing w:line="300" w:lineRule="exact"/>
              <w:jc w:val="center"/>
              <w:textAlignment w:val="center"/>
              <w:rPr>
                <w:rStyle w:val="31"/>
                <w:rFonts w:ascii="Arial Narrow" w:hAnsi="Arial Narrow" w:cs="Arial Narrow"/>
                <w:color w:val="auto"/>
                <w:sz w:val="21"/>
                <w:szCs w:val="21"/>
                <w:lang w:bidi="ar"/>
              </w:rPr>
            </w:pPr>
            <w:r>
              <w:rPr>
                <w:rStyle w:val="31"/>
                <w:rFonts w:ascii="Arial Narrow" w:hAnsi="Arial Narrow" w:cs="Arial Narrow"/>
                <w:color w:val="auto"/>
                <w:sz w:val="21"/>
                <w:szCs w:val="21"/>
                <w:lang w:bidi="ar"/>
              </w:rPr>
              <w:t>可持续影响</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社会关注度高（</w:t>
            </w:r>
            <w:r>
              <w:rPr>
                <w:rFonts w:hint="eastAsia" w:ascii="Arial Narrow" w:hAnsi="Arial Narrow" w:eastAsia="仿宋_GB2312" w:cs="Arial Narrow"/>
                <w:kern w:val="0"/>
                <w:lang w:bidi="ar"/>
              </w:rPr>
              <w:t>4</w:t>
            </w:r>
            <w:r>
              <w:rPr>
                <w:rFonts w:ascii="Arial Narrow" w:hAnsi="Arial Narrow" w:eastAsia="仿宋_GB2312" w:cs="Arial Narrow"/>
                <w:kern w:val="0"/>
                <w:lang w:bidi="ar"/>
              </w:rPr>
              <w:t>分）</w:t>
            </w:r>
          </w:p>
        </w:tc>
        <w:tc>
          <w:tcPr>
            <w:tcW w:w="1282"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社会关注度高</w:t>
            </w:r>
          </w:p>
        </w:tc>
        <w:tc>
          <w:tcPr>
            <w:tcW w:w="1341"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社会关注度高</w:t>
            </w:r>
          </w:p>
        </w:tc>
        <w:tc>
          <w:tcPr>
            <w:tcW w:w="878" w:type="dxa"/>
            <w:vAlign w:val="center"/>
          </w:tcPr>
          <w:p>
            <w:pPr>
              <w:widowControl/>
              <w:spacing w:line="300" w:lineRule="exact"/>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429"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年度绩效目标2：（</w:t>
            </w:r>
            <w:r>
              <w:rPr>
                <w:rFonts w:hint="eastAsia" w:ascii="Arial Narrow" w:hAnsi="Arial Narrow" w:eastAsia="仿宋_GB2312" w:cs="Arial Narrow"/>
                <w:kern w:val="0"/>
              </w:rPr>
              <w:t>15</w:t>
            </w:r>
            <w:r>
              <w:rPr>
                <w:rFonts w:ascii="Arial Narrow" w:hAnsi="Arial Narrow" w:eastAsia="仿宋_GB2312" w:cs="Arial Narrow"/>
                <w:kern w:val="0"/>
              </w:rPr>
              <w:t>分）</w:t>
            </w:r>
          </w:p>
        </w:tc>
        <w:tc>
          <w:tcPr>
            <w:tcW w:w="7519" w:type="dxa"/>
            <w:gridSpan w:val="6"/>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围绕党和国家及全省的中心工作，精心制订视察计划，组织委员深入实际、深入基层、深入现场，对中央和地方重大方针政策的贯彻落实，对全省经济社会发展中重大项目的规划建设，对人民群众普遍关注的重大问题的研究解决，进行巡视察看，资政建言，反映社情民意，开展民主监督，做好省政协委员视察工作，向省委、省政府提出专题建言，为全面建设社会主义现代化强省发挥履职建言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776" w:type="dxa"/>
            <w:vMerge w:val="restart"/>
            <w:vAlign w:val="center"/>
          </w:tcPr>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r>
              <w:rPr>
                <w:rFonts w:ascii="Arial Narrow" w:hAnsi="Arial Narrow" w:eastAsia="仿宋_GB2312" w:cs="Arial Narrow"/>
                <w:kern w:val="0"/>
              </w:rPr>
              <w:t>年度绩效指标</w:t>
            </w: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p>
          <w:p>
            <w:pPr>
              <w:widowControl/>
              <w:jc w:val="center"/>
              <w:rPr>
                <w:rFonts w:ascii="Arial Narrow" w:hAnsi="Arial Narrow" w:eastAsia="仿宋_GB2312" w:cs="Arial Narrow"/>
                <w:kern w:val="0"/>
              </w:rPr>
            </w:pPr>
            <w:r>
              <w:rPr>
                <w:rFonts w:ascii="Arial Narrow" w:hAnsi="Arial Narrow" w:eastAsia="仿宋_GB2312" w:cs="Arial Narrow"/>
                <w:kern w:val="0"/>
              </w:rPr>
              <w:t>年度绩效指标</w:t>
            </w:r>
          </w:p>
        </w:tc>
        <w:tc>
          <w:tcPr>
            <w:tcW w:w="653" w:type="dxa"/>
            <w:vAlign w:val="center"/>
          </w:tcPr>
          <w:p>
            <w:pPr>
              <w:spacing w:line="300" w:lineRule="exact"/>
              <w:jc w:val="center"/>
              <w:rPr>
                <w:rFonts w:ascii="Arial Narrow" w:hAnsi="Arial Narrow" w:eastAsia="仿宋_GB2312" w:cs="Arial Narrow"/>
                <w:kern w:val="0"/>
              </w:rPr>
            </w:pPr>
            <w:r>
              <w:rPr>
                <w:rFonts w:ascii="Arial Narrow" w:hAnsi="Arial Narrow" w:eastAsia="仿宋_GB2312" w:cs="Arial Narrow"/>
                <w:kern w:val="0"/>
              </w:rPr>
              <w:t>一级指标</w:t>
            </w:r>
          </w:p>
        </w:tc>
        <w:tc>
          <w:tcPr>
            <w:tcW w:w="1324"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二级指标</w:t>
            </w:r>
          </w:p>
        </w:tc>
        <w:tc>
          <w:tcPr>
            <w:tcW w:w="2694" w:type="dxa"/>
            <w:gridSpan w:val="2"/>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三级指标</w:t>
            </w:r>
          </w:p>
        </w:tc>
        <w:tc>
          <w:tcPr>
            <w:tcW w:w="1282"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年初目标值（A）</w:t>
            </w:r>
          </w:p>
        </w:tc>
        <w:tc>
          <w:tcPr>
            <w:tcW w:w="1341"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实际完成值（B）</w:t>
            </w:r>
          </w:p>
        </w:tc>
        <w:tc>
          <w:tcPr>
            <w:tcW w:w="878" w:type="dxa"/>
            <w:vAlign w:val="center"/>
          </w:tcPr>
          <w:p>
            <w:pPr>
              <w:widowControl/>
              <w:spacing w:line="300" w:lineRule="exact"/>
              <w:jc w:val="center"/>
              <w:rPr>
                <w:rFonts w:ascii="Arial Narrow" w:hAnsi="Arial Narrow" w:eastAsia="仿宋_GB2312" w:cs="Arial Narrow"/>
                <w:kern w:val="0"/>
              </w:rPr>
            </w:pPr>
            <w:r>
              <w:rPr>
                <w:rFonts w:ascii="Arial Narrow" w:hAnsi="Arial Narrow" w:eastAsia="仿宋_GB2312" w:cs="Arial Narrow"/>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restart"/>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产出指标</w:t>
            </w: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数量指标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组织委员调研活动次数</w:t>
            </w:r>
          </w:p>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50</w:t>
            </w:r>
            <w:r>
              <w:rPr>
                <w:rFonts w:hint="eastAsia" w:ascii="Arial Narrow" w:hAnsi="Arial Narrow" w:eastAsia="仿宋_GB2312" w:cs="Arial Narrow"/>
                <w:kern w:val="0"/>
                <w:lang w:bidi="ar"/>
              </w:rPr>
              <w:t>次</w:t>
            </w:r>
          </w:p>
        </w:tc>
        <w:tc>
          <w:tcPr>
            <w:tcW w:w="1341" w:type="dxa"/>
            <w:vAlign w:val="center"/>
          </w:tcPr>
          <w:p>
            <w:pPr>
              <w:widowControl/>
              <w:spacing w:line="300" w:lineRule="exact"/>
              <w:jc w:val="center"/>
              <w:textAlignment w:val="center"/>
              <w:rPr>
                <w:rFonts w:ascii="Arial Narrow" w:hAnsi="Arial Narrow" w:eastAsia="仿宋_GB2312" w:cs="Arial Narrow"/>
              </w:rPr>
            </w:pPr>
            <w:r>
              <w:rPr>
                <w:rFonts w:ascii="Arial Narrow" w:hAnsi="Arial Narrow" w:eastAsia="仿宋_GB2312" w:cs="Arial Narrow"/>
                <w:kern w:val="0"/>
                <w:lang w:bidi="ar"/>
              </w:rPr>
              <w:t>64</w:t>
            </w:r>
            <w:r>
              <w:rPr>
                <w:rFonts w:hint="eastAsia" w:ascii="Arial Narrow" w:hAnsi="Arial Narrow" w:eastAsia="仿宋_GB2312" w:cs="Arial Narrow"/>
                <w:kern w:val="0"/>
                <w:lang w:bidi="ar"/>
              </w:rPr>
              <w:t>次</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widowControl/>
              <w:spacing w:line="300" w:lineRule="exact"/>
              <w:jc w:val="center"/>
              <w:textAlignment w:val="center"/>
              <w:rPr>
                <w:rFonts w:ascii="Arial Narrow" w:hAnsi="Arial Narrow" w:eastAsia="仿宋_GB2312" w:cs="Arial Narrow"/>
                <w:kern w:val="0"/>
                <w:lang w:bidi="ar"/>
              </w:rPr>
            </w:pPr>
          </w:p>
        </w:tc>
        <w:tc>
          <w:tcPr>
            <w:tcW w:w="1324"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质量指标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反映调研考察成果的信息数量（2分）</w:t>
            </w:r>
          </w:p>
        </w:tc>
        <w:tc>
          <w:tcPr>
            <w:tcW w:w="1282"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45</w:t>
            </w:r>
            <w:r>
              <w:rPr>
                <w:rFonts w:hint="eastAsia" w:ascii="Arial Narrow" w:hAnsi="Arial Narrow" w:eastAsia="仿宋_GB2312" w:cs="Arial Narrow"/>
                <w:kern w:val="0"/>
                <w:lang w:bidi="ar"/>
              </w:rPr>
              <w:t>项</w:t>
            </w:r>
          </w:p>
        </w:tc>
        <w:tc>
          <w:tcPr>
            <w:tcW w:w="1341"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89</w:t>
            </w:r>
            <w:r>
              <w:rPr>
                <w:rFonts w:hint="eastAsia" w:ascii="Arial Narrow" w:hAnsi="Arial Narrow" w:eastAsia="仿宋_GB2312" w:cs="Arial Narrow"/>
                <w:kern w:val="0"/>
                <w:lang w:bidi="ar"/>
              </w:rPr>
              <w:t>项</w:t>
            </w:r>
          </w:p>
        </w:tc>
        <w:tc>
          <w:tcPr>
            <w:tcW w:w="878" w:type="dxa"/>
            <w:vAlign w:val="center"/>
          </w:tcPr>
          <w:p>
            <w:pPr>
              <w:widowControl/>
              <w:spacing w:line="300" w:lineRule="exact"/>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2</w:t>
            </w:r>
            <w:r>
              <w:rPr>
                <w:rFonts w:hint="eastAsia"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spacing w:line="300" w:lineRule="exact"/>
              <w:jc w:val="center"/>
              <w:rPr>
                <w:rFonts w:ascii="Arial Narrow" w:hAnsi="Arial Narrow" w:eastAsia="仿宋_GB2312" w:cs="Arial Narrow"/>
                <w:kern w:val="0"/>
              </w:rPr>
            </w:pP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质量指标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根据民主监督内容的需要，合理安排委员参与相关活动（</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合理安排</w:t>
            </w:r>
          </w:p>
        </w:tc>
        <w:tc>
          <w:tcPr>
            <w:tcW w:w="1341"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合理安排</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效益指标</w:t>
            </w: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社会效益</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通过开展民主监督落实推动相关工作进展情况（</w:t>
            </w:r>
            <w:r>
              <w:rPr>
                <w:rFonts w:hint="eastAsia" w:ascii="Arial Narrow" w:hAnsi="Arial Narrow" w:eastAsia="仿宋_GB2312" w:cs="Arial Narrow"/>
                <w:kern w:val="0"/>
                <w:lang w:bidi="ar"/>
              </w:rPr>
              <w:t>4</w:t>
            </w:r>
            <w:r>
              <w:rPr>
                <w:rFonts w:ascii="Arial Narrow" w:hAnsi="Arial Narrow" w:eastAsia="仿宋_GB2312" w:cs="Arial Narrow"/>
                <w:kern w:val="0"/>
                <w:lang w:bidi="ar"/>
              </w:rPr>
              <w:t>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有力推动</w:t>
            </w:r>
          </w:p>
        </w:tc>
        <w:tc>
          <w:tcPr>
            <w:tcW w:w="1341" w:type="dxa"/>
            <w:vAlign w:val="center"/>
          </w:tcPr>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有力推动</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Align w:val="center"/>
          </w:tcPr>
          <w:p>
            <w:pPr>
              <w:spacing w:line="300" w:lineRule="exact"/>
              <w:jc w:val="center"/>
              <w:rPr>
                <w:rFonts w:ascii="Arial Narrow" w:hAnsi="Arial Narrow" w:eastAsia="仿宋_GB2312" w:cs="Arial Narrow"/>
                <w:kern w:val="0"/>
              </w:rPr>
            </w:pPr>
            <w:r>
              <w:rPr>
                <w:rFonts w:ascii="Arial Narrow" w:hAnsi="Arial Narrow" w:eastAsia="仿宋_GB2312" w:cs="Arial Narrow"/>
                <w:kern w:val="0"/>
              </w:rPr>
              <w:t>满意度指标</w:t>
            </w:r>
          </w:p>
        </w:tc>
        <w:tc>
          <w:tcPr>
            <w:tcW w:w="1324"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服务对象满意度指标</w:t>
            </w:r>
          </w:p>
        </w:tc>
        <w:tc>
          <w:tcPr>
            <w:tcW w:w="2694" w:type="dxa"/>
            <w:gridSpan w:val="2"/>
            <w:vAlign w:val="center"/>
          </w:tcPr>
          <w:p>
            <w:pPr>
              <w:widowControl/>
              <w:spacing w:line="300" w:lineRule="exact"/>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委员对省政协各专门委员会办公室、办公厅联络处及有关处室承办委员视察具体实施工作的满意程度</w:t>
            </w:r>
          </w:p>
          <w:p>
            <w:pPr>
              <w:widowControl/>
              <w:spacing w:line="300" w:lineRule="exact"/>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（5分）</w:t>
            </w:r>
          </w:p>
        </w:tc>
        <w:tc>
          <w:tcPr>
            <w:tcW w:w="1282"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非常满意</w:t>
            </w:r>
          </w:p>
        </w:tc>
        <w:tc>
          <w:tcPr>
            <w:tcW w:w="1341"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非常满意</w:t>
            </w:r>
          </w:p>
        </w:tc>
        <w:tc>
          <w:tcPr>
            <w:tcW w:w="878" w:type="dxa"/>
            <w:vAlign w:val="center"/>
          </w:tcPr>
          <w:p>
            <w:pPr>
              <w:widowControl/>
              <w:spacing w:line="300" w:lineRule="exact"/>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8" w:hRule="atLeast"/>
          <w:jc w:val="center"/>
        </w:trPr>
        <w:tc>
          <w:tcPr>
            <w:tcW w:w="1429" w:type="dxa"/>
            <w:gridSpan w:val="2"/>
            <w:vAlign w:val="center"/>
          </w:tcPr>
          <w:p>
            <w:pPr>
              <w:jc w:val="center"/>
              <w:rPr>
                <w:rFonts w:ascii="Arial Narrow" w:hAnsi="Arial Narrow" w:eastAsia="仿宋_GB2312" w:cs="Arial Narrow"/>
                <w:kern w:val="0"/>
              </w:rPr>
            </w:pPr>
            <w:r>
              <w:rPr>
                <w:rFonts w:ascii="Arial Narrow" w:hAnsi="Arial Narrow" w:eastAsia="仿宋_GB2312" w:cs="Arial Narrow"/>
                <w:kern w:val="0"/>
              </w:rPr>
              <w:t>年度绩效目标3：（</w:t>
            </w:r>
            <w:r>
              <w:rPr>
                <w:rFonts w:hint="eastAsia" w:ascii="Arial Narrow" w:hAnsi="Arial Narrow" w:eastAsia="仿宋_GB2312" w:cs="Arial Narrow"/>
                <w:kern w:val="0"/>
              </w:rPr>
              <w:t>20</w:t>
            </w:r>
            <w:r>
              <w:rPr>
                <w:rFonts w:ascii="Arial Narrow" w:hAnsi="Arial Narrow" w:eastAsia="仿宋_GB2312" w:cs="Arial Narrow"/>
                <w:kern w:val="0"/>
              </w:rPr>
              <w:t>分）</w:t>
            </w:r>
          </w:p>
        </w:tc>
        <w:tc>
          <w:tcPr>
            <w:tcW w:w="7519" w:type="dxa"/>
            <w:gridSpan w:val="6"/>
            <w:vAlign w:val="center"/>
          </w:tcPr>
          <w:p>
            <w:pPr>
              <w:widowControl/>
              <w:jc w:val="left"/>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充分发挥政协委员主体作用，利用政协委员包容各界、联系广泛、人才聚集的优势和特点，对政治、经济、文化和社会生活中的重要问题以及人民群众普遍关心的问题，开展调查研究，发挥好社情民意“零距离”、“直通车”作用，坚持协商于民、协商为民，充分协商讨论，并通过调研报告、提案、建议案或其他形式，向党政机关提出意见和建议，促进党委政府科学民主决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restart"/>
            <w:vAlign w:val="center"/>
          </w:tcPr>
          <w:p>
            <w:pPr>
              <w:jc w:val="center"/>
              <w:rPr>
                <w:rFonts w:ascii="Arial Narrow" w:hAnsi="Arial Narrow" w:eastAsia="仿宋_GB2312" w:cs="Arial Narrow"/>
                <w:kern w:val="0"/>
              </w:rPr>
            </w:pPr>
            <w:r>
              <w:rPr>
                <w:rFonts w:ascii="Arial Narrow" w:hAnsi="Arial Narrow" w:eastAsia="仿宋_GB2312" w:cs="Arial Narrow"/>
                <w:kern w:val="0"/>
              </w:rPr>
              <w:t>年度绩效指标</w:t>
            </w:r>
          </w:p>
          <w:p>
            <w:pPr>
              <w:jc w:val="center"/>
              <w:rPr>
                <w:rFonts w:ascii="Arial Narrow" w:hAnsi="Arial Narrow" w:eastAsia="仿宋_GB2312" w:cs="Arial Narrow"/>
                <w:kern w:val="0"/>
              </w:rPr>
            </w:pPr>
          </w:p>
          <w:p>
            <w:pPr>
              <w:jc w:val="center"/>
              <w:rPr>
                <w:rFonts w:ascii="Arial Narrow" w:hAnsi="Arial Narrow" w:eastAsia="仿宋_GB2312" w:cs="Arial Narrow"/>
                <w:kern w:val="0"/>
              </w:rPr>
            </w:pPr>
          </w:p>
        </w:tc>
        <w:tc>
          <w:tcPr>
            <w:tcW w:w="653" w:type="dxa"/>
            <w:vAlign w:val="center"/>
          </w:tcPr>
          <w:p>
            <w:pPr>
              <w:jc w:val="center"/>
              <w:rPr>
                <w:rFonts w:ascii="Arial Narrow" w:hAnsi="Arial Narrow" w:eastAsia="仿宋_GB2312" w:cs="Arial Narrow"/>
                <w:kern w:val="0"/>
              </w:rPr>
            </w:pPr>
            <w:r>
              <w:rPr>
                <w:rFonts w:ascii="Arial Narrow" w:hAnsi="Arial Narrow" w:eastAsia="仿宋_GB2312" w:cs="Arial Narrow"/>
                <w:kern w:val="0"/>
              </w:rPr>
              <w:t>一级指标</w:t>
            </w:r>
          </w:p>
        </w:tc>
        <w:tc>
          <w:tcPr>
            <w:tcW w:w="1324"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二级指标</w:t>
            </w:r>
          </w:p>
        </w:tc>
        <w:tc>
          <w:tcPr>
            <w:tcW w:w="2694"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三级指标</w:t>
            </w:r>
          </w:p>
        </w:tc>
        <w:tc>
          <w:tcPr>
            <w:tcW w:w="1282"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年初目标值（A）</w:t>
            </w:r>
          </w:p>
        </w:tc>
        <w:tc>
          <w:tcPr>
            <w:tcW w:w="1341"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实际完成值（B）</w:t>
            </w:r>
          </w:p>
        </w:tc>
        <w:tc>
          <w:tcPr>
            <w:tcW w:w="878"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restart"/>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产出指标</w:t>
            </w: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《学习与思考》期数</w:t>
            </w:r>
          </w:p>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4</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4</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widowControl/>
              <w:jc w:val="center"/>
              <w:textAlignment w:val="center"/>
              <w:rPr>
                <w:rFonts w:ascii="Arial Narrow" w:hAnsi="Arial Narrow" w:eastAsia="仿宋_GB2312" w:cs="Arial Narrow"/>
                <w:kern w:val="0"/>
                <w:lang w:bidi="ar"/>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《湖北文史》期数（</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2</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widowControl/>
              <w:jc w:val="center"/>
              <w:textAlignment w:val="center"/>
              <w:rPr>
                <w:rFonts w:ascii="Arial Narrow" w:hAnsi="Arial Narrow" w:eastAsia="仿宋_GB2312" w:cs="Arial Narrow"/>
                <w:kern w:val="0"/>
                <w:lang w:bidi="ar"/>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《湖北政协》刊数（</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12</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12</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jc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委员提案立案件数（2分）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665</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730</w:t>
            </w:r>
          </w:p>
        </w:tc>
        <w:tc>
          <w:tcPr>
            <w:tcW w:w="878"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2</w:t>
            </w:r>
            <w:r>
              <w:rPr>
                <w:rFonts w:hint="eastAsia"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jc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委员参加学习培训的参与率（2分）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96%</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100%</w:t>
            </w:r>
          </w:p>
        </w:tc>
        <w:tc>
          <w:tcPr>
            <w:tcW w:w="878"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restart"/>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rPr>
              <w:t>效益指标</w:t>
            </w: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社会效益指标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开展界别活动对社会的影响力（</w:t>
            </w:r>
            <w:r>
              <w:rPr>
                <w:rFonts w:hint="eastAsia" w:ascii="Arial Narrow" w:hAnsi="Arial Narrow" w:eastAsia="仿宋_GB2312" w:cs="Arial Narrow"/>
                <w:kern w:val="0"/>
                <w:lang w:bidi="ar"/>
              </w:rPr>
              <w:t>4</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作用明显</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作用明显</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4</w:t>
            </w:r>
            <w:r>
              <w:rPr>
                <w:rFonts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widowControl/>
              <w:jc w:val="center"/>
              <w:textAlignment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社会效益指标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《提案追踪》宣传效果</w:t>
            </w:r>
          </w:p>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w:t>
            </w:r>
            <w:r>
              <w:rPr>
                <w:rFonts w:hint="eastAsia" w:ascii="Arial Narrow" w:hAnsi="Arial Narrow" w:eastAsia="仿宋_GB2312" w:cs="Arial Narrow"/>
                <w:kern w:val="0"/>
                <w:lang w:bidi="ar"/>
              </w:rPr>
              <w:t>3</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强，覆盖全省辐射全国</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强，覆盖全省辐射全国</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3</w:t>
            </w:r>
            <w:r>
              <w:rPr>
                <w:rFonts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widowControl/>
              <w:jc w:val="center"/>
              <w:textAlignment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可持续影响指标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委员学习培训对提升履职水平的作用（</w:t>
            </w:r>
            <w:r>
              <w:rPr>
                <w:rFonts w:hint="eastAsia" w:ascii="Arial Narrow" w:hAnsi="Arial Narrow" w:eastAsia="仿宋_GB2312" w:cs="Arial Narrow"/>
                <w:kern w:val="0"/>
                <w:lang w:bidi="ar"/>
              </w:rPr>
              <w:t>3</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效果显著</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效果显著</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3</w:t>
            </w:r>
            <w:r>
              <w:rPr>
                <w:rFonts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2" w:hRule="atLeast"/>
          <w:jc w:val="center"/>
        </w:trPr>
        <w:tc>
          <w:tcPr>
            <w:tcW w:w="1429" w:type="dxa"/>
            <w:gridSpan w:val="2"/>
            <w:vAlign w:val="center"/>
          </w:tcPr>
          <w:p>
            <w:pPr>
              <w:jc w:val="center"/>
              <w:rPr>
                <w:rFonts w:ascii="Arial Narrow" w:hAnsi="Arial Narrow" w:eastAsia="仿宋_GB2312" w:cs="Arial Narrow"/>
                <w:kern w:val="0"/>
              </w:rPr>
            </w:pPr>
            <w:r>
              <w:rPr>
                <w:rFonts w:ascii="Arial Narrow" w:hAnsi="Arial Narrow" w:eastAsia="仿宋_GB2312" w:cs="Arial Narrow"/>
                <w:kern w:val="0"/>
              </w:rPr>
              <w:t>年度绩效目标4：（</w:t>
            </w:r>
            <w:r>
              <w:rPr>
                <w:rFonts w:hint="eastAsia" w:ascii="Arial Narrow" w:hAnsi="Arial Narrow" w:eastAsia="仿宋_GB2312" w:cs="Arial Narrow"/>
                <w:kern w:val="0"/>
              </w:rPr>
              <w:t>26.5</w:t>
            </w:r>
            <w:r>
              <w:rPr>
                <w:rFonts w:ascii="Arial Narrow" w:hAnsi="Arial Narrow" w:eastAsia="仿宋_GB2312" w:cs="Arial Narrow"/>
                <w:kern w:val="0"/>
              </w:rPr>
              <w:t>分）</w:t>
            </w:r>
          </w:p>
        </w:tc>
        <w:tc>
          <w:tcPr>
            <w:tcW w:w="7519" w:type="dxa"/>
            <w:gridSpan w:val="6"/>
            <w:vAlign w:val="center"/>
          </w:tcPr>
          <w:p>
            <w:pPr>
              <w:jc w:val="left"/>
              <w:rPr>
                <w:rFonts w:ascii="Arial Narrow" w:hAnsi="Arial Narrow" w:eastAsia="仿宋_GB2312" w:cs="Arial Narrow"/>
                <w:kern w:val="0"/>
              </w:rPr>
            </w:pPr>
            <w:r>
              <w:rPr>
                <w:rFonts w:ascii="Arial Narrow" w:hAnsi="Arial Narrow" w:eastAsia="仿宋_GB2312" w:cs="Arial Narrow"/>
                <w:kern w:val="0"/>
              </w:rPr>
              <w:t>通过机关日常保障，提供良好的办公条件。按省委省政府有关文件精神，机关党委、创建及保密工作等各项活动应列专项活动经费，编入各单位部门预算。省政协接待工作是一项接触面广、政治性强的工作，是机关联系各方面的纽带和反映机关“两个文明”建设的窗口，是宣传湖北的有效方式，省政协按照党政机关有关国内接待方面的文件规定，做好全国政协和兄弟省市政协赴鄂视察、调研、考察的接待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restart"/>
            <w:vAlign w:val="center"/>
          </w:tcPr>
          <w:p>
            <w:pPr>
              <w:jc w:val="center"/>
              <w:rPr>
                <w:rFonts w:ascii="Arial Narrow" w:hAnsi="Arial Narrow" w:eastAsia="仿宋_GB2312" w:cs="Arial Narrow"/>
                <w:kern w:val="0"/>
              </w:rPr>
            </w:pPr>
            <w:r>
              <w:rPr>
                <w:rFonts w:ascii="Arial Narrow" w:hAnsi="Arial Narrow" w:eastAsia="仿宋_GB2312" w:cs="Arial Narrow"/>
                <w:kern w:val="0"/>
              </w:rPr>
              <w:t>年度绩效指标</w:t>
            </w:r>
          </w:p>
        </w:tc>
        <w:tc>
          <w:tcPr>
            <w:tcW w:w="653" w:type="dxa"/>
            <w:vAlign w:val="center"/>
          </w:tcPr>
          <w:p>
            <w:pPr>
              <w:jc w:val="center"/>
              <w:rPr>
                <w:rFonts w:ascii="Arial Narrow" w:hAnsi="Arial Narrow" w:eastAsia="仿宋_GB2312" w:cs="Arial Narrow"/>
                <w:kern w:val="0"/>
              </w:rPr>
            </w:pPr>
            <w:r>
              <w:rPr>
                <w:rFonts w:ascii="Arial Narrow" w:hAnsi="Arial Narrow" w:eastAsia="仿宋_GB2312" w:cs="Arial Narrow"/>
                <w:kern w:val="0"/>
              </w:rPr>
              <w:t>一级指标</w:t>
            </w:r>
          </w:p>
        </w:tc>
        <w:tc>
          <w:tcPr>
            <w:tcW w:w="1324"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二级指标</w:t>
            </w:r>
          </w:p>
        </w:tc>
        <w:tc>
          <w:tcPr>
            <w:tcW w:w="2694"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三级指标</w:t>
            </w:r>
          </w:p>
        </w:tc>
        <w:tc>
          <w:tcPr>
            <w:tcW w:w="1282"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年初目标值（A）</w:t>
            </w:r>
          </w:p>
        </w:tc>
        <w:tc>
          <w:tcPr>
            <w:tcW w:w="1341"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实际完成值（B）</w:t>
            </w:r>
          </w:p>
        </w:tc>
        <w:tc>
          <w:tcPr>
            <w:tcW w:w="878" w:type="dxa"/>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restart"/>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产出指标</w:t>
            </w: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接待港澳台侨各界、海外华人华侨、外国访问团来鄂考察访问活动次数（</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7批次</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6批次</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widowControl/>
              <w:jc w:val="center"/>
              <w:textAlignment w:val="center"/>
              <w:rPr>
                <w:rFonts w:ascii="Arial Narrow" w:hAnsi="Arial Narrow" w:eastAsia="仿宋_GB2312" w:cs="Arial Narrow"/>
                <w:kern w:val="0"/>
                <w:lang w:bidi="ar"/>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兄弟省市领导考察、调研接待次数（</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22批</w:t>
            </w:r>
          </w:p>
        </w:tc>
        <w:tc>
          <w:tcPr>
            <w:tcW w:w="1341" w:type="dxa"/>
            <w:vAlign w:val="center"/>
          </w:tcPr>
          <w:p>
            <w:pPr>
              <w:jc w:val="center"/>
              <w:rPr>
                <w:rFonts w:ascii="Arial Narrow" w:hAnsi="Arial Narrow" w:eastAsia="仿宋_GB2312" w:cs="Arial Narrow"/>
                <w:kern w:val="0"/>
                <w:lang w:bidi="ar"/>
              </w:rPr>
            </w:pPr>
            <w:r>
              <w:rPr>
                <w:rFonts w:hint="eastAsia" w:ascii="Arial Narrow" w:hAnsi="Arial Narrow" w:eastAsia="仿宋_GB2312" w:cs="Arial Narrow"/>
                <w:kern w:val="0"/>
                <w:lang w:bidi="ar"/>
              </w:rPr>
              <w:t>12批</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jc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国家领导人视察调研接待次数（</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15批</w:t>
            </w:r>
          </w:p>
        </w:tc>
        <w:tc>
          <w:tcPr>
            <w:tcW w:w="1341" w:type="dxa"/>
            <w:vAlign w:val="center"/>
          </w:tcPr>
          <w:p>
            <w:pPr>
              <w:jc w:val="center"/>
              <w:rPr>
                <w:rFonts w:ascii="Arial Narrow" w:hAnsi="Arial Narrow" w:eastAsia="仿宋_GB2312" w:cs="Arial Narrow"/>
                <w:kern w:val="0"/>
                <w:lang w:bidi="ar"/>
              </w:rPr>
            </w:pPr>
            <w:r>
              <w:rPr>
                <w:rFonts w:hint="eastAsia" w:ascii="Arial Narrow" w:hAnsi="Arial Narrow" w:eastAsia="仿宋_GB2312" w:cs="Arial Narrow"/>
                <w:kern w:val="0"/>
                <w:lang w:bidi="ar"/>
              </w:rPr>
              <w:t>9批</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jc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国家机关（副）部级领导考察、调研接待次数（</w:t>
            </w:r>
            <w:r>
              <w:rPr>
                <w:rFonts w:hint="eastAsia" w:ascii="Arial Narrow" w:hAnsi="Arial Narrow" w:eastAsia="仿宋_GB2312" w:cs="Arial Narrow"/>
                <w:kern w:val="0"/>
                <w:lang w:bidi="ar"/>
              </w:rPr>
              <w:t>1.5</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16批</w:t>
            </w:r>
          </w:p>
        </w:tc>
        <w:tc>
          <w:tcPr>
            <w:tcW w:w="1341" w:type="dxa"/>
            <w:vAlign w:val="center"/>
          </w:tcPr>
          <w:p>
            <w:pPr>
              <w:jc w:val="center"/>
              <w:rPr>
                <w:rFonts w:ascii="Arial Narrow" w:hAnsi="Arial Narrow" w:eastAsia="仿宋_GB2312" w:cs="Arial Narrow"/>
                <w:kern w:val="0"/>
                <w:lang w:bidi="ar"/>
              </w:rPr>
            </w:pPr>
            <w:r>
              <w:rPr>
                <w:rFonts w:hint="eastAsia" w:ascii="Arial Narrow" w:hAnsi="Arial Narrow" w:eastAsia="仿宋_GB2312" w:cs="Arial Narrow"/>
                <w:kern w:val="0"/>
                <w:lang w:bidi="ar"/>
              </w:rPr>
              <w:t>9批</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jc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政协门户网站日均访问量（</w:t>
            </w:r>
            <w:r>
              <w:rPr>
                <w:rFonts w:hint="eastAsia" w:ascii="Arial Narrow" w:hAnsi="Arial Narrow" w:eastAsia="仿宋_GB2312" w:cs="Arial Narrow"/>
                <w:kern w:val="0"/>
                <w:lang w:bidi="ar"/>
              </w:rPr>
              <w:t>2</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750</w:t>
            </w:r>
            <w:r>
              <w:rPr>
                <w:rFonts w:hint="eastAsia" w:ascii="Arial Narrow" w:hAnsi="Arial Narrow" w:eastAsia="仿宋_GB2312" w:cs="Arial Narrow"/>
                <w:kern w:val="0"/>
                <w:lang w:bidi="ar"/>
              </w:rPr>
              <w:t>次</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&gt;2000</w:t>
            </w:r>
            <w:r>
              <w:rPr>
                <w:rFonts w:hint="eastAsia" w:ascii="Arial Narrow" w:hAnsi="Arial Narrow" w:eastAsia="仿宋_GB2312" w:cs="Arial Narrow"/>
                <w:kern w:val="0"/>
                <w:lang w:bidi="ar"/>
              </w:rPr>
              <w:t>次</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jc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质量指标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机关信息化建设水平自评分（2分）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90</w:t>
            </w:r>
            <w:r>
              <w:rPr>
                <w:rFonts w:hint="eastAsia" w:ascii="Arial Narrow" w:hAnsi="Arial Narrow" w:eastAsia="仿宋_GB2312" w:cs="Arial Narrow"/>
                <w:kern w:val="0"/>
                <w:lang w:bidi="ar"/>
              </w:rPr>
              <w:t>分</w:t>
            </w:r>
          </w:p>
        </w:tc>
        <w:tc>
          <w:tcPr>
            <w:tcW w:w="1341" w:type="dxa"/>
            <w:vAlign w:val="center"/>
          </w:tcPr>
          <w:p>
            <w:pPr>
              <w:jc w:val="center"/>
              <w:rPr>
                <w:rFonts w:ascii="Arial Narrow" w:hAnsi="Arial Narrow" w:eastAsia="仿宋_GB2312" w:cs="Arial Narrow"/>
                <w:kern w:val="0"/>
                <w:lang w:bidi="ar"/>
              </w:rPr>
            </w:pPr>
            <w:r>
              <w:rPr>
                <w:rFonts w:ascii="Arial Narrow" w:hAnsi="Arial Narrow" w:eastAsia="仿宋_GB2312" w:cs="Arial Narrow"/>
                <w:kern w:val="0"/>
                <w:lang w:bidi="ar"/>
              </w:rPr>
              <w:t>90</w:t>
            </w:r>
            <w:r>
              <w:rPr>
                <w:rFonts w:hint="eastAsia" w:ascii="Arial Narrow" w:hAnsi="Arial Narrow" w:eastAsia="仿宋_GB2312" w:cs="Arial Narrow"/>
                <w:kern w:val="0"/>
                <w:lang w:bidi="ar"/>
              </w:rPr>
              <w:t>分</w:t>
            </w:r>
          </w:p>
        </w:tc>
        <w:tc>
          <w:tcPr>
            <w:tcW w:w="878"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jc w:val="center"/>
              <w:rPr>
                <w:rFonts w:ascii="Arial Narrow" w:hAnsi="Arial Narrow" w:eastAsia="仿宋_GB2312" w:cs="Arial Narrow"/>
                <w:kern w:val="0"/>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质量指标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机关日常事务管理平台工作效果（2分）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有力保障</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有力保障</w:t>
            </w:r>
          </w:p>
        </w:tc>
        <w:tc>
          <w:tcPr>
            <w:tcW w:w="878"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restart"/>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效益指标</w:t>
            </w:r>
          </w:p>
        </w:tc>
        <w:tc>
          <w:tcPr>
            <w:tcW w:w="1324"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社会</w:t>
            </w:r>
            <w:r>
              <w:rPr>
                <w:rFonts w:ascii="Arial Narrow" w:hAnsi="Arial Narrow" w:eastAsia="仿宋_GB2312" w:cs="Arial Narrow"/>
                <w:kern w:val="0"/>
                <w:lang w:bidi="ar"/>
              </w:rPr>
              <w:t>效益指标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综合治理获奖数（</w:t>
            </w:r>
            <w:r>
              <w:rPr>
                <w:rFonts w:hint="eastAsia" w:ascii="Arial Narrow" w:hAnsi="Arial Narrow" w:eastAsia="仿宋_GB2312" w:cs="Arial Narrow"/>
                <w:kern w:val="0"/>
                <w:lang w:bidi="ar"/>
              </w:rPr>
              <w:t>4</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Merge w:val="continue"/>
            <w:vAlign w:val="center"/>
          </w:tcPr>
          <w:p>
            <w:pPr>
              <w:widowControl/>
              <w:jc w:val="center"/>
              <w:textAlignment w:val="center"/>
              <w:rPr>
                <w:rFonts w:ascii="Arial Narrow" w:hAnsi="Arial Narrow" w:eastAsia="仿宋_GB2312" w:cs="Arial Narrow"/>
                <w:kern w:val="0"/>
                <w:lang w:bidi="ar"/>
              </w:rPr>
            </w:pP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可持续影响指标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通过机关日常保障和物业管理，提供良好的办公条件（</w:t>
            </w:r>
            <w:r>
              <w:rPr>
                <w:rFonts w:hint="eastAsia" w:ascii="Arial Narrow" w:hAnsi="Arial Narrow" w:eastAsia="仿宋_GB2312" w:cs="Arial Narrow"/>
                <w:kern w:val="0"/>
                <w:lang w:bidi="ar"/>
              </w:rPr>
              <w:t>4</w:t>
            </w:r>
            <w:r>
              <w:rPr>
                <w:rFonts w:ascii="Arial Narrow" w:hAnsi="Arial Narrow" w:eastAsia="仿宋_GB2312" w:cs="Arial Narrow"/>
                <w:kern w:val="0"/>
                <w:lang w:bidi="ar"/>
              </w:rPr>
              <w:t>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有力保障</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有力保障</w:t>
            </w:r>
          </w:p>
        </w:tc>
        <w:tc>
          <w:tcPr>
            <w:tcW w:w="878" w:type="dxa"/>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76" w:type="dxa"/>
            <w:vMerge w:val="continue"/>
            <w:vAlign w:val="center"/>
          </w:tcPr>
          <w:p>
            <w:pPr>
              <w:jc w:val="center"/>
              <w:rPr>
                <w:rFonts w:ascii="Arial Narrow" w:hAnsi="Arial Narrow" w:eastAsia="仿宋_GB2312" w:cs="Arial Narrow"/>
                <w:kern w:val="0"/>
              </w:rPr>
            </w:pPr>
          </w:p>
        </w:tc>
        <w:tc>
          <w:tcPr>
            <w:tcW w:w="653" w:type="dxa"/>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满意度指标</w:t>
            </w:r>
          </w:p>
        </w:tc>
        <w:tc>
          <w:tcPr>
            <w:tcW w:w="1324"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服务对象满意度指标</w:t>
            </w:r>
          </w:p>
        </w:tc>
        <w:tc>
          <w:tcPr>
            <w:tcW w:w="2694" w:type="dxa"/>
            <w:gridSpan w:val="2"/>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干部职工对机关日常维护质量以及效率的满意程度（5分）</w:t>
            </w:r>
          </w:p>
        </w:tc>
        <w:tc>
          <w:tcPr>
            <w:tcW w:w="1282"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满意</w:t>
            </w:r>
          </w:p>
        </w:tc>
        <w:tc>
          <w:tcPr>
            <w:tcW w:w="1341"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满意</w:t>
            </w:r>
          </w:p>
        </w:tc>
        <w:tc>
          <w:tcPr>
            <w:tcW w:w="878" w:type="dxa"/>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5</w:t>
            </w:r>
            <w:r>
              <w:rPr>
                <w:rFonts w:hint="eastAsia"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429" w:type="dxa"/>
            <w:gridSpan w:val="2"/>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总分</w:t>
            </w:r>
          </w:p>
        </w:tc>
        <w:tc>
          <w:tcPr>
            <w:tcW w:w="7519" w:type="dxa"/>
            <w:gridSpan w:val="6"/>
            <w:vAlign w:val="center"/>
          </w:tcPr>
          <w:p>
            <w:pPr>
              <w:widowControl/>
              <w:jc w:val="center"/>
              <w:textAlignment w:val="center"/>
              <w:rPr>
                <w:rFonts w:ascii="Arial Narrow" w:hAnsi="Arial Narrow" w:eastAsia="仿宋_GB2312" w:cs="Arial Narrow"/>
              </w:rPr>
            </w:pPr>
            <w:r>
              <w:rPr>
                <w:rFonts w:hint="eastAsia" w:ascii="Arial Narrow" w:hAnsi="Arial Narrow" w:eastAsia="仿宋_GB2312" w:cs="Arial Narrow"/>
                <w:kern w:val="0"/>
                <w:lang w:bidi="ar"/>
              </w:rPr>
              <w:t>92.77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0" w:hRule="atLeast"/>
          <w:jc w:val="center"/>
        </w:trPr>
        <w:tc>
          <w:tcPr>
            <w:tcW w:w="1429" w:type="dxa"/>
            <w:gridSpan w:val="2"/>
            <w:vAlign w:val="center"/>
          </w:tcPr>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偏差大或</w:t>
            </w:r>
          </w:p>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目标未完成</w:t>
            </w:r>
          </w:p>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原因分析</w:t>
            </w:r>
          </w:p>
        </w:tc>
        <w:tc>
          <w:tcPr>
            <w:tcW w:w="7519" w:type="dxa"/>
            <w:gridSpan w:val="6"/>
            <w:vAlign w:val="center"/>
          </w:tcPr>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1.部分绩效指标值未达到年初目标。</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一是年初计划开展团结联谊类会议1次，实际未开展。主要是因为综合考虑当前疫情防控工作的需要和年底全省的工作安排，今年暂停举办湖北省各界人士迎新年茶话会。</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二是年初计划出版《湖北文史》2期，实际出版1期，拟出版的《湖北文史》109辑“抗疫专辑”已完成组稿、编审工作，但因涉及抗击新冠疫情，省主管部门认为，该书稿所涉及人物、图片、数字等细节和重大节点、重大结论等相关内容表述比较敏感，难以全部一一核准，为慎重起见，建议此书稿作为内部资料留存，因此未出版。</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三是接待批次未达年初目标值，主要是因为受疫情影响，港澳台侨各界、海外华人华侨、外国访问团来鄂考察访问活动次数及兄弟省市领导考察调研、国家领导人视察、国家机关（副）部级领导考察调研次数减少。</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2.项目绩效指标体系科学性有待提升。</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一是产出指标中，“国家领导人视察调研接待次数”、“国家机关（副）部级领导考察、调研接待次数”、“兄弟省市领导考察、调研接待次数”3个数量指标评价方向相似，可以合并为1个指标。</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二是效益指标完成程度难以量化评价，如“发挥政协在国家治理中的作用”、“通过开展民主监督落实推动相关工作进展情况”、“开展界别活动对社会的影响力”、“提案追踪宣传效果”等指标目标值为定性描述，不便于对指标完成程度进行量化评价，项目实施效果的评价结论容易受到主观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43" w:hRule="atLeast"/>
          <w:jc w:val="center"/>
        </w:trPr>
        <w:tc>
          <w:tcPr>
            <w:tcW w:w="1429" w:type="dxa"/>
            <w:gridSpan w:val="2"/>
            <w:vAlign w:val="center"/>
          </w:tcPr>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改进措施及</w:t>
            </w:r>
          </w:p>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结果应用</w:t>
            </w:r>
          </w:p>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方案</w:t>
            </w:r>
          </w:p>
        </w:tc>
        <w:tc>
          <w:tcPr>
            <w:tcW w:w="7519" w:type="dxa"/>
            <w:gridSpan w:val="6"/>
            <w:vAlign w:val="center"/>
          </w:tcPr>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1.项目完善及绩效目标调整。</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（1）项目完善措施</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一是按计划开展各类专项会议，牢牢把握新时代人民政协的新方位新使命，坚持建言资政和凝聚共识双向发力，全面推动政协工作提质增效，提高政治协商、民主监督、参政议政水平，不断完善制度机制，更好地把人民政协制度优势转化为国家治理效能。</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二是充分发挥政协优势，广泛凝聚各阶层力量和智慧，宣传荆楚文化，树立正确的创作导向，同时发挥文史资料存史、资政、团结、育人的功能，为两个文明建设服务。</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三是综合考虑疫情防控要求，合理安排接待及交流工作，采用多种形式广泛凝聚共识，加强同海外侨胞和港澳人士的团结联系、交流合作，起到凝聚人心、画大同心圆的积极作用。</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（2）绩效目标调整措施</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一是将“国家领导人视察调研接待次数”、“国家机关（副）部级领导考察、调研接待次数”、“兄弟省市领导考察、调研接待次数”3个指标合并，修改为“接待考察、视察调研次数”指标。</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二是根据项目资金支出方向和实际实施内容，优化项目绩效指标体系，如将“发挥政协在国家治理中的作用”指标修改为“建言资政、凝聚共识履职程度”指标、“提案追踪宣传效果”指标修改为“提案追踪全年累计观看人数”指标、“通过机关日常保障和物业管理，提供良好的办公条件”指标修改为“办公环境保障度”指标，新增“调研信息结果运用率”指标、“社情民意反馈度”指标等。</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三是设置可量化的满意度指标值，便于对满意度指标完成程度进行量化评价。如设置“干部职工对机关日常维护质量以及效率的满意程度”指标目标值≥95%。</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四是做好调研和计划，充分考虑各项影响因素，合理设置绩效目标值。</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2.拟与预算安排相结合情况。</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（1）根据预算执行情况适当调整各项目资金支出结构，实行资金安排与绩效评价结果挂钩机制，同时根据绩效自评结果，确定下一年度预算执行情况及指标完成情况的跟踪监控方向。</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（2）根据绩效自评结果，完善绩效指标体系。</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一是设置可量化的效益指标，如将“发挥政协在国家治理中的作用”指标修改为“建言资政、凝聚共识履职程度”指标，指标目标值为100%；将“开展界别活动对社会的影响力”指标修改为“界别活动社会影响度”指标，指标目标值为100%；将“通过机关日常保障和物业管理，提供良好的办公条件”指标修改为“办公环境保障度”指标，指标目标值为95%；将“提案追踪宣传效果”指标修改为“提案追踪全年累计观看人数”指标，指标目标值为1700万人；新增“调研信息结果运用率”指标，指标目标值为20%；新增“社情民意反馈度”指标，指标目标值为100%等。</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二是将评价方向相似的指标进行合并汇总，“国家领导人视察调研接待次数”、“国家机关（副）部级领导考察、调研接待次数”、“兄弟省市领导考察、调研接待次数”3个指标合并修改为“接待考察、视察调研次数”指标，指标目标值为20批次。</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三是将两个满意度指标的目标值调整为≥95%，便于对满意度指标完成程度进行量化评价。</w:t>
            </w:r>
          </w:p>
        </w:tc>
      </w:tr>
    </w:tbl>
    <w:p>
      <w:pPr>
        <w:widowControl/>
        <w:outlineLvl w:val="0"/>
        <w:rPr>
          <w:rFonts w:ascii="Arial Narrow" w:hAnsi="Arial Narrow" w:eastAsia="仿宋_GB2312" w:cs="Times New Roman"/>
          <w:kern w:val="0"/>
        </w:rPr>
      </w:pPr>
      <w:r>
        <w:rPr>
          <w:rFonts w:ascii="Arial Narrow" w:hAnsi="Arial Narrow" w:eastAsia="仿宋_GB2312" w:cs="仿宋_GB2312"/>
          <w:kern w:val="0"/>
        </w:rPr>
        <w:t>备注：</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1.预算执行情况口径：预算数为调整后财政资金总额（包括上年结余结转），执行数为资金使用单位财政资金实际支出数。</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2.定量指标完成数汇总原则：绝对值直接累加计算，相对值按照资金额度加权平均计算。定量指标计分原则：正向指标（即目标值为≥X,得分=权重*B/A），反向指标（即目标值为≤X，得分=权重*A/B），得分不得突破权重总额。定量指标先汇总完成数，再计算得分。</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3.定性指标计分原则：达成预期指标、部分达成预期指标并具有一定效果、未达成预期指标且效果较差三档，分别按照该指标对应分值区间100-80%（含80%）、80-50%（含50%）、50-0%合理确定分值。汇总时，以资金额度为权重，对分值进行加权平均计算。</w:t>
      </w:r>
    </w:p>
    <w:p>
      <w:pPr>
        <w:widowControl/>
        <w:ind w:firstLine="420" w:firstLineChars="200"/>
        <w:rPr>
          <w:rFonts w:ascii="Arial Narrow" w:hAnsi="Arial Narrow" w:eastAsia="仿宋_GB2312" w:cs="仿宋_GB2312"/>
          <w:kern w:val="0"/>
        </w:rPr>
      </w:pPr>
      <w:r>
        <w:rPr>
          <w:rFonts w:ascii="Arial Narrow" w:hAnsi="Arial Narrow" w:eastAsia="仿宋_GB2312" w:cs="仿宋_GB2312"/>
          <w:kern w:val="0"/>
        </w:rPr>
        <w:t>4.基于经济性和必要性等因素考虑，满意度指标暂可不作为必评指标。</w:t>
      </w:r>
    </w:p>
    <w:p/>
    <w:p/>
    <w:p/>
    <w:p/>
    <w:p/>
    <w:p/>
    <w:p/>
    <w:p/>
    <w:p/>
    <w:p/>
    <w:p/>
    <w:p/>
    <w:p>
      <w:pPr>
        <w:pStyle w:val="2"/>
        <w:spacing w:before="0" w:after="0" w:line="240" w:lineRule="auto"/>
        <w:rPr>
          <w:rFonts w:ascii="Arial Narrow" w:hAnsi="Arial Narrow" w:eastAsia="黑体" w:cs="黑体"/>
          <w:b w:val="0"/>
          <w:sz w:val="28"/>
          <w:szCs w:val="28"/>
        </w:rPr>
      </w:pPr>
      <w:r>
        <w:rPr>
          <w:rFonts w:ascii="Arial Narrow" w:hAnsi="Arial Narrow" w:eastAsia="黑体" w:cs="黑体"/>
          <w:b w:val="0"/>
          <w:sz w:val="28"/>
          <w:szCs w:val="28"/>
        </w:rPr>
        <w:t>附件：</w:t>
      </w:r>
    </w:p>
    <w:p>
      <w:pPr>
        <w:widowControl/>
        <w:jc w:val="center"/>
        <w:outlineLvl w:val="0"/>
        <w:rPr>
          <w:rFonts w:ascii="方正小标宋简体" w:hAnsi="Times New Roman" w:eastAsia="方正小标宋简体" w:cs="Times New Roman"/>
          <w:sz w:val="36"/>
          <w:szCs w:val="36"/>
        </w:rPr>
      </w:pPr>
      <w:r>
        <w:rPr>
          <w:rFonts w:hint="eastAsia" w:ascii="方正小标宋简体" w:hAnsi="Times New Roman" w:eastAsia="方正小标宋简体" w:cs="方正小标宋简体"/>
          <w:sz w:val="36"/>
          <w:szCs w:val="36"/>
        </w:rPr>
        <w:t>转移支付（省直专项）整体绩效目标自评表</w:t>
      </w:r>
    </w:p>
    <w:p>
      <w:pPr>
        <w:widowControl/>
        <w:jc w:val="center"/>
        <w:outlineLvl w:val="0"/>
        <w:rPr>
          <w:rFonts w:ascii="楷体_GB2312" w:hAnsi="Times New Roman" w:eastAsia="楷体_GB2312" w:cs="Times New Roman"/>
          <w:sz w:val="28"/>
          <w:szCs w:val="28"/>
        </w:rPr>
      </w:pPr>
      <w:r>
        <w:rPr>
          <w:rFonts w:hint="eastAsia" w:ascii="楷体_GB2312" w:hAnsi="Times New Roman" w:eastAsia="楷体_GB2312" w:cs="楷体_GB2312"/>
          <w:sz w:val="28"/>
          <w:szCs w:val="28"/>
        </w:rPr>
        <w:t>（</w:t>
      </w:r>
      <w:r>
        <w:rPr>
          <w:rFonts w:ascii="楷体_GB2312" w:hAnsi="Times New Roman" w:eastAsia="楷体_GB2312" w:cs="楷体_GB2312"/>
          <w:sz w:val="28"/>
          <w:szCs w:val="28"/>
        </w:rPr>
        <w:t xml:space="preserve"> </w:t>
      </w:r>
      <w:r>
        <w:rPr>
          <w:rFonts w:hint="eastAsia" w:ascii="楷体_GB2312" w:hAnsi="Times New Roman" w:eastAsia="楷体_GB2312" w:cs="楷体_GB2312"/>
          <w:sz w:val="28"/>
          <w:szCs w:val="28"/>
        </w:rPr>
        <w:t>2020年度）</w:t>
      </w:r>
    </w:p>
    <w:p>
      <w:pPr>
        <w:rPr>
          <w:rFonts w:cs="Times New Roman"/>
        </w:rPr>
      </w:pPr>
    </w:p>
    <w:tbl>
      <w:tblPr>
        <w:tblStyle w:val="10"/>
        <w:tblW w:w="89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11"/>
        <w:gridCol w:w="714"/>
        <w:gridCol w:w="1814"/>
        <w:gridCol w:w="836"/>
        <w:gridCol w:w="931"/>
        <w:gridCol w:w="893"/>
        <w:gridCol w:w="809"/>
        <w:gridCol w:w="1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 w:hRule="atLeast"/>
        </w:trPr>
        <w:tc>
          <w:tcPr>
            <w:tcW w:w="1922" w:type="dxa"/>
            <w:gridSpan w:val="3"/>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转移支付</w:t>
            </w:r>
          </w:p>
          <w:p>
            <w:pPr>
              <w:widowControl/>
              <w:jc w:val="center"/>
              <w:rPr>
                <w:rFonts w:ascii="Arial Narrow" w:hAnsi="Arial Narrow" w:eastAsia="仿宋_GB2312" w:cs="Arial Narrow"/>
                <w:kern w:val="0"/>
              </w:rPr>
            </w:pPr>
            <w:r>
              <w:rPr>
                <w:rFonts w:ascii="Arial Narrow" w:hAnsi="Arial Narrow" w:eastAsia="仿宋_GB2312" w:cs="Arial Narrow"/>
                <w:kern w:val="0"/>
              </w:rPr>
              <w:t>（省直专项）名称</w:t>
            </w:r>
          </w:p>
        </w:tc>
        <w:tc>
          <w:tcPr>
            <w:tcW w:w="7026" w:type="dxa"/>
            <w:gridSpan w:val="6"/>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全省政协系统专项补助经费项目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1922" w:type="dxa"/>
            <w:gridSpan w:val="3"/>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省直部门</w:t>
            </w:r>
          </w:p>
        </w:tc>
        <w:tc>
          <w:tcPr>
            <w:tcW w:w="7026" w:type="dxa"/>
            <w:gridSpan w:val="6"/>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　湖北省政协办公厅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1922" w:type="dxa"/>
            <w:gridSpan w:val="3"/>
            <w:vMerge w:val="restart"/>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转移支付</w:t>
            </w:r>
          </w:p>
          <w:p>
            <w:pPr>
              <w:widowControl/>
              <w:jc w:val="center"/>
              <w:rPr>
                <w:rFonts w:ascii="Arial Narrow" w:hAnsi="Arial Narrow" w:eastAsia="仿宋_GB2312" w:cs="Arial Narrow"/>
                <w:kern w:val="0"/>
              </w:rPr>
            </w:pPr>
            <w:r>
              <w:rPr>
                <w:rFonts w:ascii="Arial Narrow" w:hAnsi="Arial Narrow" w:eastAsia="仿宋_GB2312" w:cs="Arial Narrow"/>
                <w:kern w:val="0"/>
              </w:rPr>
              <w:t>（省直专项）资金</w:t>
            </w:r>
          </w:p>
          <w:p>
            <w:pPr>
              <w:widowControl/>
              <w:jc w:val="center"/>
              <w:rPr>
                <w:rFonts w:ascii="Arial Narrow" w:hAnsi="Arial Narrow" w:eastAsia="仿宋_GB2312" w:cs="Arial Narrow"/>
                <w:kern w:val="0"/>
              </w:rPr>
            </w:pPr>
            <w:r>
              <w:rPr>
                <w:rFonts w:ascii="Arial Narrow" w:hAnsi="Arial Narrow" w:eastAsia="仿宋_GB2312" w:cs="Arial Narrow"/>
                <w:kern w:val="0"/>
              </w:rPr>
              <w:t>（万元）</w:t>
            </w:r>
          </w:p>
          <w:p>
            <w:pPr>
              <w:widowControl/>
              <w:jc w:val="center"/>
              <w:rPr>
                <w:rFonts w:ascii="Arial Narrow" w:hAnsi="Arial Narrow" w:eastAsia="仿宋_GB2312" w:cs="Arial Narrow"/>
                <w:kern w:val="0"/>
              </w:rPr>
            </w:pPr>
            <w:r>
              <w:rPr>
                <w:rFonts w:ascii="Arial Narrow" w:hAnsi="Arial Narrow" w:eastAsia="仿宋_GB2312" w:cs="Arial Narrow"/>
                <w:kern w:val="0"/>
              </w:rPr>
              <w:t>（20分）</w:t>
            </w:r>
          </w:p>
        </w:tc>
        <w:tc>
          <w:tcPr>
            <w:tcW w:w="1814"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w:t>
            </w:r>
          </w:p>
        </w:tc>
        <w:tc>
          <w:tcPr>
            <w:tcW w:w="836"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年初</w:t>
            </w:r>
          </w:p>
          <w:p>
            <w:pPr>
              <w:widowControl/>
              <w:jc w:val="center"/>
              <w:rPr>
                <w:rFonts w:ascii="Arial Narrow" w:hAnsi="Arial Narrow" w:eastAsia="仿宋_GB2312" w:cs="Arial Narrow"/>
                <w:kern w:val="0"/>
              </w:rPr>
            </w:pPr>
            <w:r>
              <w:rPr>
                <w:rFonts w:ascii="Arial Narrow" w:hAnsi="Arial Narrow" w:eastAsia="仿宋_GB2312" w:cs="Arial Narrow"/>
                <w:kern w:val="0"/>
              </w:rPr>
              <w:t>预算数</w:t>
            </w:r>
          </w:p>
        </w:tc>
        <w:tc>
          <w:tcPr>
            <w:tcW w:w="93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全年</w:t>
            </w:r>
          </w:p>
          <w:p>
            <w:pPr>
              <w:widowControl/>
              <w:jc w:val="center"/>
              <w:rPr>
                <w:rFonts w:ascii="Arial Narrow" w:hAnsi="Arial Narrow" w:eastAsia="仿宋_GB2312" w:cs="Arial Narrow"/>
                <w:kern w:val="0"/>
              </w:rPr>
            </w:pPr>
            <w:r>
              <w:rPr>
                <w:rFonts w:ascii="Arial Narrow" w:hAnsi="Arial Narrow" w:eastAsia="仿宋_GB2312" w:cs="Arial Narrow"/>
                <w:kern w:val="0"/>
              </w:rPr>
              <w:t>预算数</w:t>
            </w:r>
          </w:p>
          <w:p>
            <w:pPr>
              <w:widowControl/>
              <w:jc w:val="center"/>
              <w:rPr>
                <w:rFonts w:ascii="Arial Narrow" w:hAnsi="Arial Narrow" w:eastAsia="仿宋_GB2312" w:cs="Arial Narrow"/>
                <w:kern w:val="0"/>
              </w:rPr>
            </w:pPr>
            <w:r>
              <w:rPr>
                <w:rFonts w:ascii="Arial Narrow" w:hAnsi="Arial Narrow" w:eastAsia="仿宋_GB2312" w:cs="Arial Narrow"/>
                <w:kern w:val="0"/>
              </w:rPr>
              <w:t>（A）</w:t>
            </w:r>
          </w:p>
        </w:tc>
        <w:tc>
          <w:tcPr>
            <w:tcW w:w="89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全年</w:t>
            </w:r>
          </w:p>
          <w:p>
            <w:pPr>
              <w:widowControl/>
              <w:jc w:val="center"/>
              <w:rPr>
                <w:rFonts w:ascii="Arial Narrow" w:hAnsi="Arial Narrow" w:eastAsia="仿宋_GB2312" w:cs="Arial Narrow"/>
                <w:kern w:val="0"/>
              </w:rPr>
            </w:pPr>
            <w:r>
              <w:rPr>
                <w:rFonts w:ascii="Arial Narrow" w:hAnsi="Arial Narrow" w:eastAsia="仿宋_GB2312" w:cs="Arial Narrow"/>
                <w:kern w:val="0"/>
              </w:rPr>
              <w:t>执行数</w:t>
            </w:r>
          </w:p>
          <w:p>
            <w:pPr>
              <w:widowControl/>
              <w:jc w:val="center"/>
              <w:rPr>
                <w:rFonts w:ascii="Arial Narrow" w:hAnsi="Arial Narrow" w:eastAsia="仿宋_GB2312" w:cs="Arial Narrow"/>
                <w:kern w:val="0"/>
              </w:rPr>
            </w:pPr>
            <w:r>
              <w:rPr>
                <w:rFonts w:ascii="Arial Narrow" w:hAnsi="Arial Narrow" w:eastAsia="仿宋_GB2312" w:cs="Arial Narrow"/>
                <w:kern w:val="0"/>
              </w:rPr>
              <w:t>（B）</w:t>
            </w:r>
          </w:p>
        </w:tc>
        <w:tc>
          <w:tcPr>
            <w:tcW w:w="809"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执行率</w:t>
            </w:r>
          </w:p>
          <w:p>
            <w:pPr>
              <w:widowControl/>
              <w:jc w:val="center"/>
              <w:rPr>
                <w:rFonts w:ascii="Arial Narrow" w:hAnsi="Arial Narrow" w:eastAsia="仿宋_GB2312" w:cs="Arial Narrow"/>
                <w:kern w:val="0"/>
              </w:rPr>
            </w:pPr>
            <w:r>
              <w:rPr>
                <w:rFonts w:ascii="Arial Narrow" w:hAnsi="Arial Narrow" w:eastAsia="仿宋_GB2312" w:cs="Arial Narrow"/>
                <w:kern w:val="0"/>
              </w:rPr>
              <w:t>（B/A）</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得分</w:t>
            </w:r>
          </w:p>
          <w:p>
            <w:pPr>
              <w:widowControl/>
              <w:jc w:val="center"/>
              <w:rPr>
                <w:rFonts w:ascii="Arial Narrow" w:hAnsi="Arial Narrow" w:eastAsia="仿宋_GB2312" w:cs="Arial Narrow"/>
                <w:kern w:val="0"/>
              </w:rPr>
            </w:pPr>
            <w:r>
              <w:rPr>
                <w:rFonts w:ascii="Arial Narrow" w:hAnsi="Arial Narrow" w:eastAsia="仿宋_GB2312" w:cs="Arial Narrow"/>
                <w:kern w:val="0"/>
              </w:rPr>
              <w:t>（20分*执行率）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22" w:type="dxa"/>
            <w:gridSpan w:val="3"/>
            <w:vMerge w:val="continue"/>
            <w:tcMar>
              <w:left w:w="57" w:type="dxa"/>
              <w:right w:w="57" w:type="dxa"/>
            </w:tcMar>
            <w:vAlign w:val="center"/>
          </w:tcPr>
          <w:p>
            <w:pPr>
              <w:widowControl/>
              <w:jc w:val="left"/>
              <w:rPr>
                <w:rFonts w:ascii="Arial Narrow" w:hAnsi="Arial Narrow" w:eastAsia="仿宋_GB2312" w:cs="Arial Narrow"/>
                <w:kern w:val="0"/>
              </w:rPr>
            </w:pPr>
          </w:p>
        </w:tc>
        <w:tc>
          <w:tcPr>
            <w:tcW w:w="1814"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年度资金总额：</w:t>
            </w:r>
          </w:p>
        </w:tc>
        <w:tc>
          <w:tcPr>
            <w:tcW w:w="836"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900</w:t>
            </w:r>
          </w:p>
        </w:tc>
        <w:tc>
          <w:tcPr>
            <w:tcW w:w="93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900　</w:t>
            </w:r>
          </w:p>
        </w:tc>
        <w:tc>
          <w:tcPr>
            <w:tcW w:w="893"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900</w:t>
            </w:r>
          </w:p>
        </w:tc>
        <w:tc>
          <w:tcPr>
            <w:tcW w:w="809"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100%</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22" w:type="dxa"/>
            <w:gridSpan w:val="3"/>
            <w:vMerge w:val="continue"/>
            <w:tcMar>
              <w:left w:w="57" w:type="dxa"/>
              <w:right w:w="57" w:type="dxa"/>
            </w:tcMar>
            <w:vAlign w:val="center"/>
          </w:tcPr>
          <w:p>
            <w:pPr>
              <w:widowControl/>
              <w:jc w:val="left"/>
              <w:rPr>
                <w:rFonts w:ascii="Arial Narrow" w:hAnsi="Arial Narrow" w:eastAsia="仿宋_GB2312" w:cs="Arial Narrow"/>
                <w:kern w:val="0"/>
              </w:rPr>
            </w:pPr>
          </w:p>
        </w:tc>
        <w:tc>
          <w:tcPr>
            <w:tcW w:w="1814"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xml:space="preserve"> 其中：省级补助</w:t>
            </w:r>
          </w:p>
        </w:tc>
        <w:tc>
          <w:tcPr>
            <w:tcW w:w="836"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900</w:t>
            </w:r>
          </w:p>
        </w:tc>
        <w:tc>
          <w:tcPr>
            <w:tcW w:w="93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900　</w:t>
            </w:r>
          </w:p>
        </w:tc>
        <w:tc>
          <w:tcPr>
            <w:tcW w:w="893"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900</w:t>
            </w:r>
          </w:p>
        </w:tc>
        <w:tc>
          <w:tcPr>
            <w:tcW w:w="809"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100%</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hint="eastAsia" w:ascii="Arial Narrow" w:hAnsi="Arial Narrow" w:eastAsia="仿宋_GB2312" w:cs="Arial Narrow"/>
                <w:kern w:val="0"/>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22" w:type="dxa"/>
            <w:gridSpan w:val="3"/>
            <w:vMerge w:val="continue"/>
            <w:tcMar>
              <w:left w:w="57" w:type="dxa"/>
              <w:right w:w="57" w:type="dxa"/>
            </w:tcMar>
            <w:vAlign w:val="center"/>
          </w:tcPr>
          <w:p>
            <w:pPr>
              <w:widowControl/>
              <w:jc w:val="left"/>
              <w:rPr>
                <w:rFonts w:ascii="Arial Narrow" w:hAnsi="Arial Narrow" w:eastAsia="仿宋_GB2312" w:cs="Arial Narrow"/>
                <w:kern w:val="0"/>
              </w:rPr>
            </w:pPr>
          </w:p>
        </w:tc>
        <w:tc>
          <w:tcPr>
            <w:tcW w:w="1814"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xml:space="preserve">       市县资金</w:t>
            </w:r>
          </w:p>
        </w:tc>
        <w:tc>
          <w:tcPr>
            <w:tcW w:w="836"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93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89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809"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22" w:type="dxa"/>
            <w:gridSpan w:val="3"/>
            <w:vMerge w:val="continue"/>
            <w:tcMar>
              <w:left w:w="57" w:type="dxa"/>
              <w:right w:w="57" w:type="dxa"/>
            </w:tcMar>
            <w:vAlign w:val="center"/>
          </w:tcPr>
          <w:p>
            <w:pPr>
              <w:widowControl/>
              <w:jc w:val="left"/>
              <w:rPr>
                <w:rFonts w:ascii="Arial Narrow" w:hAnsi="Arial Narrow" w:eastAsia="仿宋_GB2312" w:cs="Arial Narrow"/>
                <w:kern w:val="0"/>
              </w:rPr>
            </w:pPr>
          </w:p>
        </w:tc>
        <w:tc>
          <w:tcPr>
            <w:tcW w:w="1814" w:type="dxa"/>
            <w:tcMar>
              <w:left w:w="57" w:type="dxa"/>
              <w:right w:w="57" w:type="dxa"/>
            </w:tcMar>
            <w:vAlign w:val="center"/>
          </w:tcPr>
          <w:p>
            <w:pPr>
              <w:widowControl/>
              <w:jc w:val="left"/>
              <w:rPr>
                <w:rFonts w:ascii="Arial Narrow" w:hAnsi="Arial Narrow" w:eastAsia="仿宋_GB2312" w:cs="Arial Narrow"/>
                <w:kern w:val="0"/>
              </w:rPr>
            </w:pPr>
            <w:r>
              <w:rPr>
                <w:rFonts w:ascii="Arial Narrow" w:hAnsi="Arial Narrow" w:eastAsia="仿宋_GB2312" w:cs="Arial Narrow"/>
                <w:kern w:val="0"/>
              </w:rPr>
              <w:t xml:space="preserve">       其他资金</w:t>
            </w:r>
          </w:p>
        </w:tc>
        <w:tc>
          <w:tcPr>
            <w:tcW w:w="836"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93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89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809"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97" w:type="dxa"/>
            <w:vMerge w:val="restart"/>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绩</w:t>
            </w:r>
          </w:p>
          <w:p>
            <w:pPr>
              <w:widowControl/>
              <w:jc w:val="center"/>
              <w:rPr>
                <w:rFonts w:ascii="Arial Narrow" w:hAnsi="Arial Narrow" w:eastAsia="仿宋_GB2312" w:cs="Arial Narrow"/>
                <w:kern w:val="0"/>
              </w:rPr>
            </w:pPr>
            <w:r>
              <w:rPr>
                <w:rFonts w:ascii="Arial Narrow" w:hAnsi="Arial Narrow" w:eastAsia="仿宋_GB2312" w:cs="Arial Narrow"/>
                <w:kern w:val="0"/>
              </w:rPr>
              <w:t>效</w:t>
            </w:r>
          </w:p>
          <w:p>
            <w:pPr>
              <w:widowControl/>
              <w:jc w:val="center"/>
              <w:rPr>
                <w:rFonts w:ascii="Arial Narrow" w:hAnsi="Arial Narrow" w:eastAsia="仿宋_GB2312" w:cs="Arial Narrow"/>
                <w:kern w:val="0"/>
              </w:rPr>
            </w:pPr>
            <w:r>
              <w:rPr>
                <w:rFonts w:ascii="Arial Narrow" w:hAnsi="Arial Narrow" w:eastAsia="仿宋_GB2312" w:cs="Arial Narrow"/>
                <w:kern w:val="0"/>
              </w:rPr>
              <w:t>指</w:t>
            </w:r>
          </w:p>
          <w:p>
            <w:pPr>
              <w:widowControl/>
              <w:jc w:val="center"/>
              <w:rPr>
                <w:rFonts w:ascii="Arial Narrow" w:hAnsi="Arial Narrow" w:eastAsia="仿宋_GB2312" w:cs="Arial Narrow"/>
                <w:kern w:val="0"/>
              </w:rPr>
            </w:pPr>
            <w:r>
              <w:rPr>
                <w:rFonts w:ascii="Arial Narrow" w:hAnsi="Arial Narrow" w:eastAsia="仿宋_GB2312" w:cs="Arial Narrow"/>
                <w:kern w:val="0"/>
              </w:rPr>
              <w:t>标</w:t>
            </w:r>
          </w:p>
          <w:p>
            <w:pPr>
              <w:widowControl/>
              <w:jc w:val="center"/>
              <w:rPr>
                <w:rFonts w:ascii="Arial Narrow" w:hAnsi="Arial Narrow" w:eastAsia="仿宋_GB2312" w:cs="Arial Narrow"/>
                <w:kern w:val="0"/>
              </w:rPr>
            </w:pPr>
            <w:r>
              <w:rPr>
                <w:rFonts w:ascii="Arial Narrow" w:hAnsi="Arial Narrow" w:eastAsia="仿宋_GB2312" w:cs="Arial Narrow"/>
                <w:kern w:val="0"/>
              </w:rPr>
              <w:t>（80</w:t>
            </w:r>
          </w:p>
          <w:p>
            <w:pPr>
              <w:widowControl/>
              <w:jc w:val="center"/>
              <w:rPr>
                <w:rFonts w:ascii="Arial Narrow" w:hAnsi="Arial Narrow" w:eastAsia="仿宋_GB2312" w:cs="Arial Narrow"/>
                <w:kern w:val="0"/>
              </w:rPr>
            </w:pPr>
            <w:r>
              <w:rPr>
                <w:rFonts w:ascii="Arial Narrow" w:hAnsi="Arial Narrow" w:eastAsia="仿宋_GB2312" w:cs="Arial Narrow"/>
                <w:kern w:val="0"/>
              </w:rPr>
              <w:t>分）</w:t>
            </w:r>
          </w:p>
        </w:tc>
        <w:tc>
          <w:tcPr>
            <w:tcW w:w="61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一级</w:t>
            </w:r>
          </w:p>
          <w:p>
            <w:pPr>
              <w:widowControl/>
              <w:jc w:val="center"/>
              <w:rPr>
                <w:rFonts w:ascii="Arial Narrow" w:hAnsi="Arial Narrow" w:eastAsia="仿宋_GB2312" w:cs="Arial Narrow"/>
                <w:kern w:val="0"/>
              </w:rPr>
            </w:pPr>
            <w:r>
              <w:rPr>
                <w:rFonts w:ascii="Arial Narrow" w:hAnsi="Arial Narrow" w:eastAsia="仿宋_GB2312" w:cs="Arial Narrow"/>
                <w:kern w:val="0"/>
              </w:rPr>
              <w:t>指标</w:t>
            </w:r>
          </w:p>
        </w:tc>
        <w:tc>
          <w:tcPr>
            <w:tcW w:w="714"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二级</w:t>
            </w:r>
          </w:p>
          <w:p>
            <w:pPr>
              <w:widowControl/>
              <w:jc w:val="center"/>
              <w:rPr>
                <w:rFonts w:ascii="Arial Narrow" w:hAnsi="Arial Narrow" w:eastAsia="仿宋_GB2312" w:cs="Arial Narrow"/>
                <w:kern w:val="0"/>
              </w:rPr>
            </w:pPr>
            <w:r>
              <w:rPr>
                <w:rFonts w:ascii="Arial Narrow" w:hAnsi="Arial Narrow" w:eastAsia="仿宋_GB2312" w:cs="Arial Narrow"/>
                <w:kern w:val="0"/>
              </w:rPr>
              <w:t>指标</w:t>
            </w:r>
          </w:p>
        </w:tc>
        <w:tc>
          <w:tcPr>
            <w:tcW w:w="3581" w:type="dxa"/>
            <w:gridSpan w:val="3"/>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三级指标</w:t>
            </w:r>
          </w:p>
        </w:tc>
        <w:tc>
          <w:tcPr>
            <w:tcW w:w="89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年初目标值</w:t>
            </w:r>
          </w:p>
        </w:tc>
        <w:tc>
          <w:tcPr>
            <w:tcW w:w="809"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实际完成值</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97" w:type="dxa"/>
            <w:vMerge w:val="continue"/>
            <w:tcMar>
              <w:left w:w="57" w:type="dxa"/>
              <w:right w:w="57" w:type="dxa"/>
            </w:tcMar>
            <w:vAlign w:val="center"/>
          </w:tcPr>
          <w:p>
            <w:pPr>
              <w:widowControl/>
              <w:jc w:val="center"/>
              <w:rPr>
                <w:rFonts w:ascii="Arial Narrow" w:hAnsi="Arial Narrow" w:eastAsia="仿宋_GB2312" w:cs="Arial Narrow"/>
                <w:kern w:val="0"/>
              </w:rPr>
            </w:pPr>
          </w:p>
        </w:tc>
        <w:tc>
          <w:tcPr>
            <w:tcW w:w="61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产出</w:t>
            </w:r>
          </w:p>
          <w:p>
            <w:pPr>
              <w:widowControl/>
              <w:jc w:val="center"/>
              <w:rPr>
                <w:rFonts w:ascii="Arial Narrow" w:hAnsi="Arial Narrow" w:eastAsia="仿宋_GB2312" w:cs="Arial Narrow"/>
                <w:kern w:val="0"/>
              </w:rPr>
            </w:pPr>
            <w:r>
              <w:rPr>
                <w:rFonts w:ascii="Arial Narrow" w:hAnsi="Arial Narrow" w:eastAsia="仿宋_GB2312" w:cs="Arial Narrow"/>
                <w:kern w:val="0"/>
              </w:rPr>
              <w:t>指标</w:t>
            </w:r>
          </w:p>
        </w:tc>
        <w:tc>
          <w:tcPr>
            <w:tcW w:w="714"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数量</w:t>
            </w:r>
          </w:p>
          <w:p>
            <w:pPr>
              <w:widowControl/>
              <w:jc w:val="center"/>
              <w:rPr>
                <w:rFonts w:ascii="Arial Narrow" w:hAnsi="Arial Narrow" w:eastAsia="仿宋_GB2312" w:cs="Arial Narrow"/>
                <w:kern w:val="0"/>
              </w:rPr>
            </w:pPr>
            <w:r>
              <w:rPr>
                <w:rFonts w:ascii="Arial Narrow" w:hAnsi="Arial Narrow" w:eastAsia="仿宋_GB2312" w:cs="Arial Narrow"/>
                <w:kern w:val="0"/>
              </w:rPr>
              <w:t>指标</w:t>
            </w:r>
          </w:p>
        </w:tc>
        <w:tc>
          <w:tcPr>
            <w:tcW w:w="3581" w:type="dxa"/>
            <w:gridSpan w:val="3"/>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补助市县（区）数量</w:t>
            </w:r>
            <w:r>
              <w:rPr>
                <w:rFonts w:hint="eastAsia" w:ascii="Arial Narrow" w:hAnsi="Arial Narrow" w:eastAsia="仿宋_GB2312" w:cs="Arial Narrow"/>
                <w:kern w:val="0"/>
              </w:rPr>
              <w:t>（40分）</w:t>
            </w:r>
          </w:p>
        </w:tc>
        <w:tc>
          <w:tcPr>
            <w:tcW w:w="893" w:type="dxa"/>
            <w:tcMar>
              <w:left w:w="57" w:type="dxa"/>
              <w:right w:w="57" w:type="dxa"/>
            </w:tcMar>
            <w:vAlign w:val="center"/>
          </w:tcPr>
          <w:p>
            <w:pPr>
              <w:widowControl/>
              <w:jc w:val="center"/>
              <w:rPr>
                <w:rFonts w:ascii="Arial Narrow" w:hAnsi="Arial Narrow" w:eastAsia="仿宋_GB2312" w:cs="Arial Narrow"/>
                <w:kern w:val="0"/>
              </w:rPr>
            </w:pPr>
            <w:r>
              <w:rPr>
                <w:rFonts w:hint="eastAsia" w:ascii="Arial Narrow" w:hAnsi="Arial Narrow" w:eastAsia="仿宋_GB2312" w:cs="Arial Narrow"/>
                <w:kern w:val="0"/>
              </w:rPr>
              <w:t>71个</w:t>
            </w:r>
          </w:p>
        </w:tc>
        <w:tc>
          <w:tcPr>
            <w:tcW w:w="809" w:type="dxa"/>
            <w:tcMar>
              <w:left w:w="57" w:type="dxa"/>
              <w:right w:w="57" w:type="dxa"/>
            </w:tcMar>
            <w:vAlign w:val="center"/>
          </w:tcPr>
          <w:p>
            <w:pPr>
              <w:widowControl/>
              <w:jc w:val="center"/>
              <w:rPr>
                <w:rFonts w:ascii="Arial Narrow" w:hAnsi="Arial Narrow" w:eastAsia="仿宋_GB2312" w:cs="Arial Narrow"/>
                <w:kern w:val="0"/>
              </w:rPr>
            </w:pPr>
            <w:r>
              <w:rPr>
                <w:rFonts w:hint="eastAsia" w:ascii="Arial Narrow" w:hAnsi="Arial Narrow" w:eastAsia="仿宋_GB2312" w:cs="Arial Narrow"/>
                <w:kern w:val="0"/>
              </w:rPr>
              <w:t>69个</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38.87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97" w:type="dxa"/>
            <w:vMerge w:val="continue"/>
            <w:tcMar>
              <w:left w:w="57" w:type="dxa"/>
              <w:right w:w="57" w:type="dxa"/>
            </w:tcMar>
            <w:vAlign w:val="center"/>
          </w:tcPr>
          <w:p>
            <w:pPr>
              <w:widowControl/>
              <w:jc w:val="center"/>
              <w:rPr>
                <w:rFonts w:ascii="Arial Narrow" w:hAnsi="Arial Narrow" w:eastAsia="仿宋_GB2312" w:cs="Arial Narrow"/>
                <w:kern w:val="0"/>
              </w:rPr>
            </w:pPr>
          </w:p>
        </w:tc>
        <w:tc>
          <w:tcPr>
            <w:tcW w:w="611"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效益</w:t>
            </w:r>
          </w:p>
          <w:p>
            <w:pPr>
              <w:widowControl/>
              <w:jc w:val="center"/>
              <w:rPr>
                <w:rFonts w:ascii="Arial Narrow" w:hAnsi="Arial Narrow" w:eastAsia="仿宋_GB2312" w:cs="Arial Narrow"/>
                <w:kern w:val="0"/>
              </w:rPr>
            </w:pPr>
            <w:r>
              <w:rPr>
                <w:rFonts w:ascii="Arial Narrow" w:hAnsi="Arial Narrow" w:eastAsia="仿宋_GB2312" w:cs="Arial Narrow"/>
                <w:kern w:val="0"/>
              </w:rPr>
              <w:t>指标</w:t>
            </w:r>
          </w:p>
        </w:tc>
        <w:tc>
          <w:tcPr>
            <w:tcW w:w="714"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社会</w:t>
            </w:r>
          </w:p>
          <w:p>
            <w:pPr>
              <w:widowControl/>
              <w:jc w:val="center"/>
              <w:rPr>
                <w:rFonts w:ascii="Arial Narrow" w:hAnsi="Arial Narrow" w:eastAsia="仿宋_GB2312" w:cs="Arial Narrow"/>
                <w:kern w:val="0"/>
              </w:rPr>
            </w:pPr>
            <w:r>
              <w:rPr>
                <w:rFonts w:ascii="Arial Narrow" w:hAnsi="Arial Narrow" w:eastAsia="仿宋_GB2312" w:cs="Arial Narrow"/>
                <w:kern w:val="0"/>
              </w:rPr>
              <w:t>效益</w:t>
            </w:r>
          </w:p>
          <w:p>
            <w:pPr>
              <w:widowControl/>
              <w:jc w:val="center"/>
              <w:rPr>
                <w:rFonts w:ascii="Arial Narrow" w:hAnsi="Arial Narrow" w:eastAsia="仿宋_GB2312" w:cs="Arial Narrow"/>
                <w:kern w:val="0"/>
              </w:rPr>
            </w:pPr>
            <w:r>
              <w:rPr>
                <w:rFonts w:ascii="Arial Narrow" w:hAnsi="Arial Narrow" w:eastAsia="仿宋_GB2312" w:cs="Arial Narrow"/>
                <w:kern w:val="0"/>
              </w:rPr>
              <w:t>指标</w:t>
            </w:r>
          </w:p>
        </w:tc>
        <w:tc>
          <w:tcPr>
            <w:tcW w:w="3581" w:type="dxa"/>
            <w:gridSpan w:val="3"/>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提升委员履职能力</w:t>
            </w:r>
            <w:r>
              <w:rPr>
                <w:rFonts w:hint="eastAsia" w:ascii="Arial Narrow" w:hAnsi="Arial Narrow" w:eastAsia="仿宋_GB2312" w:cs="Arial Narrow"/>
                <w:kern w:val="0"/>
              </w:rPr>
              <w:t>（40分）</w:t>
            </w:r>
          </w:p>
        </w:tc>
        <w:tc>
          <w:tcPr>
            <w:tcW w:w="893"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作用显著</w:t>
            </w:r>
          </w:p>
        </w:tc>
        <w:tc>
          <w:tcPr>
            <w:tcW w:w="809" w:type="dxa"/>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作用显著</w:t>
            </w:r>
          </w:p>
        </w:tc>
        <w:tc>
          <w:tcPr>
            <w:tcW w:w="1743" w:type="dxa"/>
            <w:tcMar>
              <w:left w:w="57" w:type="dxa"/>
              <w:right w:w="57" w:type="dxa"/>
            </w:tcMar>
            <w:vAlign w:val="center"/>
          </w:tcPr>
          <w:p>
            <w:pPr>
              <w:widowControl/>
              <w:jc w:val="center"/>
              <w:rPr>
                <w:rFonts w:ascii="Arial Narrow" w:hAnsi="Arial Narrow" w:eastAsia="仿宋_GB2312" w:cs="Arial Narrow"/>
                <w:kern w:val="0"/>
              </w:rPr>
            </w:pPr>
            <w:r>
              <w:rPr>
                <w:rFonts w:hint="eastAsia" w:ascii="Arial Narrow" w:hAnsi="Arial Narrow" w:eastAsia="仿宋_GB2312" w:cs="Arial Narrow"/>
                <w:kern w:val="0"/>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22" w:type="dxa"/>
            <w:gridSpan w:val="3"/>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总分</w:t>
            </w:r>
          </w:p>
        </w:tc>
        <w:tc>
          <w:tcPr>
            <w:tcW w:w="7026" w:type="dxa"/>
            <w:gridSpan w:val="6"/>
            <w:tcMar>
              <w:left w:w="57" w:type="dxa"/>
              <w:right w:w="57" w:type="dxa"/>
            </w:tcMar>
            <w:vAlign w:val="center"/>
          </w:tcPr>
          <w:p>
            <w:pPr>
              <w:widowControl/>
              <w:jc w:val="center"/>
              <w:rPr>
                <w:rFonts w:ascii="Arial Narrow" w:hAnsi="Arial Narrow" w:eastAsia="仿宋_GB2312" w:cs="Arial Narrow"/>
                <w:kern w:val="0"/>
              </w:rPr>
            </w:pPr>
            <w:r>
              <w:rPr>
                <w:rFonts w:ascii="Arial Narrow" w:hAnsi="Arial Narrow" w:eastAsia="仿宋_GB2312" w:cs="Arial Narrow"/>
                <w:kern w:val="0"/>
              </w:rPr>
              <w:t>98.87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0" w:hRule="atLeast"/>
        </w:trPr>
        <w:tc>
          <w:tcPr>
            <w:tcW w:w="1922" w:type="dxa"/>
            <w:gridSpan w:val="3"/>
            <w:tcMar>
              <w:left w:w="57" w:type="dxa"/>
              <w:right w:w="57" w:type="dxa"/>
            </w:tcMar>
            <w:vAlign w:val="center"/>
          </w:tcPr>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偏差大或目标</w:t>
            </w:r>
          </w:p>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未完成原因分析</w:t>
            </w:r>
          </w:p>
        </w:tc>
        <w:tc>
          <w:tcPr>
            <w:tcW w:w="7026" w:type="dxa"/>
            <w:gridSpan w:val="6"/>
            <w:tcMar>
              <w:left w:w="57" w:type="dxa"/>
              <w:right w:w="57" w:type="dxa"/>
            </w:tcMar>
            <w:vAlign w:val="center"/>
          </w:tcPr>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1、年初计划补助市县（区）数量71个，实际补助69个。根据各市（州）县（区）实际工作需要和申报情况，结合省政协当年重点工作及资金绩效评价结果等相关因素，确定本年度补助市县（区）数量为69个。</w:t>
            </w:r>
          </w:p>
          <w:p>
            <w:pPr>
              <w:widowControl/>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项目绩效评价结果未细化量化反映补助资金的支出结果和使用效益。全省政协系统专项补助资金主要用于市（州）县（区）政协机关运转、政协相关工作开展、驻点精准扶贫、委员开展调研、视察、考察、学习培训等履职活动，但年初仅设置一个产出指标“补助市县（区）数量”和一个效益指标“提升委员履职能力”，既未细化量化体现补助资金的支出结果，也未体现出补助资金的使用效益；此外，效益指标目标值为“作用显著”，不便于对指标完成程度进行量化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50" w:hRule="atLeast"/>
        </w:trPr>
        <w:tc>
          <w:tcPr>
            <w:tcW w:w="1922" w:type="dxa"/>
            <w:gridSpan w:val="3"/>
            <w:tcMar>
              <w:left w:w="57" w:type="dxa"/>
              <w:right w:w="57" w:type="dxa"/>
            </w:tcMar>
            <w:vAlign w:val="center"/>
          </w:tcPr>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改进措施及结果</w:t>
            </w:r>
          </w:p>
          <w:p>
            <w:pPr>
              <w:widowControl/>
              <w:spacing w:line="360" w:lineRule="exact"/>
              <w:jc w:val="center"/>
              <w:rPr>
                <w:rFonts w:ascii="Arial Narrow" w:hAnsi="Arial Narrow" w:eastAsia="仿宋_GB2312" w:cs="Arial Narrow"/>
                <w:kern w:val="0"/>
              </w:rPr>
            </w:pPr>
            <w:r>
              <w:rPr>
                <w:rFonts w:ascii="Arial Narrow" w:hAnsi="Arial Narrow" w:eastAsia="仿宋_GB2312" w:cs="Arial Narrow"/>
                <w:kern w:val="0"/>
              </w:rPr>
              <w:t>应用方案</w:t>
            </w:r>
          </w:p>
        </w:tc>
        <w:tc>
          <w:tcPr>
            <w:tcW w:w="7026" w:type="dxa"/>
            <w:gridSpan w:val="6"/>
            <w:tcMar>
              <w:left w:w="57" w:type="dxa"/>
              <w:right w:w="57" w:type="dxa"/>
            </w:tcMar>
            <w:vAlign w:val="center"/>
          </w:tcPr>
          <w:p>
            <w:pPr>
              <w:widowControl/>
              <w:spacing w:line="360" w:lineRule="exact"/>
              <w:ind w:firstLine="420" w:firstLineChars="200"/>
              <w:jc w:val="left"/>
              <w:rPr>
                <w:rFonts w:ascii="Arial Narrow" w:hAnsi="Arial Narrow" w:eastAsia="仿宋_GB2312" w:cs="Arial Narrow"/>
                <w:kern w:val="0"/>
              </w:rPr>
            </w:pPr>
            <w:r>
              <w:rPr>
                <w:rFonts w:ascii="Arial Narrow" w:hAnsi="Arial Narrow" w:eastAsia="仿宋_GB2312" w:cs="Arial Narrow"/>
                <w:kern w:val="0"/>
              </w:rPr>
              <w:t>1.项目完善及绩效目标调整。</w:t>
            </w:r>
          </w:p>
          <w:p>
            <w:pPr>
              <w:widowControl/>
              <w:spacing w:line="360" w:lineRule="exact"/>
              <w:ind w:firstLine="420" w:firstLineChars="200"/>
              <w:jc w:val="left"/>
              <w:rPr>
                <w:rFonts w:ascii="Arial Narrow" w:hAnsi="Arial Narrow" w:eastAsia="仿宋_GB2312" w:cs="Arial Narrow"/>
                <w:kern w:val="0"/>
              </w:rPr>
            </w:pPr>
            <w:r>
              <w:rPr>
                <w:rFonts w:ascii="Arial Narrow" w:hAnsi="Arial Narrow" w:eastAsia="仿宋_GB2312" w:cs="Arial Narrow"/>
                <w:kern w:val="0"/>
              </w:rPr>
              <w:t>（1）项目完善：定期监控市（州）县（区）政协资金使用方向，收集市（州）县（区）政协经费使用效益数据，切实发挥补助经费缓解各市（州）县（区）政协资金压力、提升委员履职能力的作用。</w:t>
            </w:r>
          </w:p>
          <w:p>
            <w:pPr>
              <w:widowControl/>
              <w:spacing w:line="360" w:lineRule="exact"/>
              <w:ind w:firstLine="420" w:firstLineChars="200"/>
              <w:jc w:val="left"/>
              <w:rPr>
                <w:rFonts w:ascii="Arial Narrow" w:hAnsi="Arial Narrow" w:eastAsia="仿宋_GB2312" w:cs="Arial Narrow"/>
                <w:kern w:val="0"/>
              </w:rPr>
            </w:pPr>
            <w:r>
              <w:rPr>
                <w:rFonts w:ascii="Arial Narrow" w:hAnsi="Arial Narrow" w:eastAsia="仿宋_GB2312" w:cs="Arial Narrow"/>
                <w:kern w:val="0"/>
              </w:rPr>
              <w:t>（2）绩效目标调整：一是根据各市（州）县（区）政协填报的《湖北省政协系统专项补助资金绩效目标完成情况反馈表》，结合资金用途及使用效益，汇总形成全省政协系统专项补助经费项目绩效指标体系，如“承办省政协课题数量”、“社情民意和政协提案报送数”等产出指标，及“缓解资金压力市（州）县（区）政协比例”、“委员履职能力提升程度”等效益指标，并设定科学的绩效指标目标值。</w:t>
            </w:r>
          </w:p>
          <w:p>
            <w:pPr>
              <w:widowControl/>
              <w:spacing w:line="360" w:lineRule="exact"/>
              <w:ind w:firstLine="420" w:firstLineChars="200"/>
              <w:jc w:val="left"/>
              <w:rPr>
                <w:rFonts w:ascii="Arial Narrow" w:hAnsi="Arial Narrow" w:eastAsia="仿宋_GB2312" w:cs="Arial Narrow"/>
                <w:kern w:val="0"/>
              </w:rPr>
            </w:pPr>
            <w:r>
              <w:rPr>
                <w:rFonts w:ascii="Arial Narrow" w:hAnsi="Arial Narrow" w:eastAsia="仿宋_GB2312" w:cs="Arial Narrow"/>
                <w:kern w:val="0"/>
              </w:rPr>
              <w:t>2.拟与预算安排相结合情况。</w:t>
            </w:r>
          </w:p>
          <w:p>
            <w:pPr>
              <w:widowControl/>
              <w:spacing w:line="360" w:lineRule="exact"/>
              <w:ind w:firstLine="420" w:firstLineChars="200"/>
              <w:jc w:val="left"/>
              <w:rPr>
                <w:rFonts w:ascii="Arial Narrow" w:hAnsi="Arial Narrow" w:eastAsia="仿宋_GB2312" w:cs="Arial Narrow"/>
                <w:kern w:val="0"/>
              </w:rPr>
            </w:pPr>
            <w:r>
              <w:rPr>
                <w:rFonts w:ascii="Arial Narrow" w:hAnsi="Arial Narrow" w:eastAsia="仿宋_GB2312" w:cs="Arial Narrow"/>
                <w:kern w:val="0"/>
              </w:rPr>
              <w:t>将项目绩效自评结果作为下一年度该项目申报预算的重要依据，一是根据预算执行情况适当调整项目额度；二是完善项目绩效指标体系，设置“承办省政协课题数量”、“社情民意和政协提案报送数”、“住市州省政协委员学习考察次数”、“召开省政协委员座谈会次数”、“支持精准扶贫工作次数”、“补助市（州）县（区）政协机关运转金额”、“委员关注‘湖北政协’公众号覆盖率”等产出指标，及“缓解资金压力市（州）县（区）政协比例”、“委员履职能力提升程度”等效益指标，并通过</w:t>
            </w:r>
            <w:r>
              <w:rPr>
                <w:rFonts w:hint="eastAsia" w:ascii="Arial Narrow" w:hAnsi="Arial Narrow" w:eastAsia="仿宋_GB2312" w:cs="Arial Narrow"/>
                <w:kern w:val="0"/>
              </w:rPr>
              <w:t>汇总</w:t>
            </w:r>
            <w:r>
              <w:rPr>
                <w:rFonts w:ascii="Arial Narrow" w:hAnsi="Arial Narrow" w:eastAsia="仿宋_GB2312" w:cs="Arial Narrow"/>
                <w:kern w:val="0"/>
              </w:rPr>
              <w:t>《湖北省政协系统专项补助资金绩效目标完成情况反馈表》</w:t>
            </w:r>
            <w:r>
              <w:rPr>
                <w:rFonts w:hint="eastAsia" w:ascii="Arial Narrow" w:hAnsi="Arial Narrow" w:eastAsia="仿宋_GB2312" w:cs="Arial Narrow"/>
                <w:kern w:val="0"/>
              </w:rPr>
              <w:t>数据，</w:t>
            </w:r>
            <w:r>
              <w:rPr>
                <w:rFonts w:ascii="Arial Narrow" w:hAnsi="Arial Narrow" w:eastAsia="仿宋_GB2312" w:cs="Arial Narrow"/>
                <w:kern w:val="0"/>
              </w:rPr>
              <w:t>设定科学的</w:t>
            </w:r>
            <w:r>
              <w:rPr>
                <w:rFonts w:hint="eastAsia" w:ascii="Arial Narrow" w:hAnsi="Arial Narrow" w:eastAsia="仿宋_GB2312" w:cs="Arial Narrow"/>
                <w:kern w:val="0"/>
              </w:rPr>
              <w:t>绩效</w:t>
            </w:r>
            <w:r>
              <w:rPr>
                <w:rFonts w:ascii="Arial Narrow" w:hAnsi="Arial Narrow" w:eastAsia="仿宋_GB2312" w:cs="Arial Narrow"/>
                <w:kern w:val="0"/>
              </w:rPr>
              <w:t>指标目标值。</w:t>
            </w:r>
          </w:p>
        </w:tc>
      </w:tr>
    </w:tbl>
    <w:p>
      <w:pPr>
        <w:widowControl/>
        <w:rPr>
          <w:rFonts w:ascii="仿宋_GB2312" w:hAnsi="Times New Roman" w:eastAsia="仿宋_GB2312" w:cs="仿宋_GB2312"/>
        </w:rPr>
      </w:pPr>
    </w:p>
    <w:p>
      <w:pPr>
        <w:widowControl/>
        <w:rPr>
          <w:rFonts w:ascii="仿宋_GB2312" w:hAnsi="Times New Roman" w:eastAsia="仿宋_GB2312" w:cs="Times New Roman"/>
        </w:rPr>
      </w:pPr>
      <w:r>
        <w:rPr>
          <w:rFonts w:hint="eastAsia" w:ascii="仿宋_GB2312" w:hAnsi="Times New Roman" w:eastAsia="仿宋_GB2312" w:cs="仿宋_GB2312"/>
        </w:rPr>
        <w:t>注：</w:t>
      </w:r>
      <w:r>
        <w:rPr>
          <w:rFonts w:ascii="仿宋_GB2312" w:hAnsi="Times New Roman" w:eastAsia="仿宋_GB2312" w:cs="仿宋_GB2312"/>
        </w:rPr>
        <w:t>1.</w:t>
      </w:r>
      <w:r>
        <w:rPr>
          <w:rFonts w:hint="eastAsia" w:ascii="仿宋_GB2312" w:hAnsi="Times New Roman" w:eastAsia="仿宋_GB2312" w:cs="仿宋_GB2312"/>
        </w:rPr>
        <w:t>其他资金包括和省级补助、市县财政资金共同投入到同一项目的自有资金、社会资金，以及以前年度的结转结余资金等。</w:t>
      </w:r>
    </w:p>
    <w:p>
      <w:pPr>
        <w:widowControl/>
        <w:ind w:firstLine="420" w:firstLineChars="200"/>
        <w:rPr>
          <w:rFonts w:ascii="仿宋_GB2312" w:hAnsi="Times New Roman" w:eastAsia="仿宋_GB2312" w:cs="Times New Roman"/>
        </w:rPr>
      </w:pPr>
      <w:r>
        <w:rPr>
          <w:rFonts w:ascii="仿宋_GB2312" w:hAnsi="Times New Roman" w:eastAsia="仿宋_GB2312" w:cs="仿宋_GB2312"/>
        </w:rPr>
        <w:t>2.</w:t>
      </w:r>
      <w:r>
        <w:rPr>
          <w:rFonts w:hint="eastAsia" w:ascii="仿宋_GB2312" w:hAnsi="Times New Roman" w:eastAsia="仿宋_GB2312" w:cs="仿宋_GB2312"/>
        </w:rPr>
        <w:t>定量指标计分原则：正向指标（即目标值为</w:t>
      </w:r>
      <w:r>
        <w:rPr>
          <w:rFonts w:ascii="仿宋_GB2312" w:hAnsi="Times New Roman" w:eastAsia="仿宋_GB2312" w:cs="仿宋_GB2312"/>
        </w:rPr>
        <w:t>=X,</w:t>
      </w:r>
      <w:r>
        <w:rPr>
          <w:rFonts w:hint="eastAsia" w:ascii="仿宋_GB2312" w:hAnsi="Times New Roman" w:eastAsia="仿宋_GB2312" w:cs="仿宋_GB2312"/>
        </w:rPr>
        <w:t>得分</w:t>
      </w:r>
      <w:r>
        <w:rPr>
          <w:rFonts w:ascii="仿宋_GB2312" w:hAnsi="Times New Roman" w:eastAsia="仿宋_GB2312" w:cs="仿宋_GB2312"/>
        </w:rPr>
        <w:t>=</w:t>
      </w:r>
      <w:r>
        <w:rPr>
          <w:rFonts w:hint="eastAsia" w:ascii="仿宋_GB2312" w:hAnsi="Times New Roman" w:eastAsia="仿宋_GB2312" w:cs="仿宋_GB2312"/>
        </w:rPr>
        <w:t>权重</w:t>
      </w:r>
      <w:r>
        <w:rPr>
          <w:rFonts w:ascii="仿宋_GB2312" w:hAnsi="Times New Roman" w:eastAsia="仿宋_GB2312" w:cs="仿宋_GB2312"/>
        </w:rPr>
        <w:t>*B/A</w:t>
      </w:r>
      <w:r>
        <w:rPr>
          <w:rFonts w:hint="eastAsia" w:ascii="仿宋_GB2312" w:hAnsi="Times New Roman" w:eastAsia="仿宋_GB2312" w:cs="仿宋_GB2312"/>
        </w:rPr>
        <w:t>），反向指标（即目标值为</w:t>
      </w:r>
      <w:r>
        <w:rPr>
          <w:rFonts w:ascii="仿宋_GB2312" w:hAnsi="Times New Roman" w:eastAsia="仿宋_GB2312" w:cs="仿宋_GB2312"/>
        </w:rPr>
        <w:t>=X</w:t>
      </w:r>
      <w:r>
        <w:rPr>
          <w:rFonts w:hint="eastAsia" w:ascii="仿宋_GB2312" w:hAnsi="Times New Roman" w:eastAsia="仿宋_GB2312" w:cs="仿宋_GB2312"/>
        </w:rPr>
        <w:t>，得分</w:t>
      </w:r>
      <w:r>
        <w:rPr>
          <w:rFonts w:ascii="仿宋_GB2312" w:hAnsi="Times New Roman" w:eastAsia="仿宋_GB2312" w:cs="仿宋_GB2312"/>
        </w:rPr>
        <w:t>=</w:t>
      </w:r>
      <w:r>
        <w:rPr>
          <w:rFonts w:hint="eastAsia" w:ascii="仿宋_GB2312" w:hAnsi="Times New Roman" w:eastAsia="仿宋_GB2312" w:cs="仿宋_GB2312"/>
        </w:rPr>
        <w:t>权重</w:t>
      </w:r>
      <w:r>
        <w:rPr>
          <w:rFonts w:ascii="仿宋_GB2312" w:hAnsi="Times New Roman" w:eastAsia="仿宋_GB2312" w:cs="仿宋_GB2312"/>
        </w:rPr>
        <w:t>*A/B）</w:t>
      </w:r>
      <w:r>
        <w:rPr>
          <w:rFonts w:hint="eastAsia" w:ascii="仿宋_GB2312" w:hAnsi="Times New Roman" w:eastAsia="仿宋_GB2312" w:cs="仿宋_GB2312"/>
        </w:rPr>
        <w:t>，得分不得突破权重总额。定量指标先汇总完成数，再计算得分。定量指标汇总原则，对绝对值直接累加计算，相对值按照资金额度加权平均计算。</w:t>
      </w:r>
    </w:p>
    <w:p>
      <w:pPr>
        <w:widowControl/>
        <w:ind w:firstLine="420" w:firstLineChars="200"/>
        <w:rPr>
          <w:rFonts w:ascii="仿宋_GB2312" w:hAnsi="Times New Roman" w:eastAsia="仿宋_GB2312" w:cs="仿宋_GB2312"/>
        </w:rPr>
      </w:pPr>
      <w:r>
        <w:rPr>
          <w:rFonts w:ascii="仿宋_GB2312" w:hAnsi="Times New Roman" w:eastAsia="仿宋_GB2312" w:cs="仿宋_GB2312"/>
        </w:rPr>
        <w:t>3.</w:t>
      </w:r>
      <w:r>
        <w:rPr>
          <w:rFonts w:hint="eastAsia" w:ascii="仿宋_GB2312" w:hAnsi="Times New Roman" w:eastAsia="仿宋_GB2312" w:cs="仿宋_GB2312"/>
        </w:rPr>
        <w:t>定性指标计分原则：达成预期指标、部分达成预期指标并具有一定效果、未达成预期指标且效果较差三档，分别按照该指标对应分值区间</w:t>
      </w:r>
      <w:r>
        <w:rPr>
          <w:rFonts w:ascii="仿宋_GB2312" w:hAnsi="Times New Roman" w:eastAsia="仿宋_GB2312" w:cs="仿宋_GB2312"/>
        </w:rPr>
        <w:t>100-80%</w:t>
      </w:r>
      <w:r>
        <w:rPr>
          <w:rFonts w:hint="eastAsia" w:ascii="仿宋_GB2312" w:hAnsi="Times New Roman" w:eastAsia="仿宋_GB2312" w:cs="仿宋_GB2312"/>
        </w:rPr>
        <w:t>（含</w:t>
      </w:r>
      <w:r>
        <w:rPr>
          <w:rFonts w:ascii="仿宋_GB2312" w:hAnsi="Times New Roman" w:eastAsia="仿宋_GB2312" w:cs="仿宋_GB2312"/>
        </w:rPr>
        <w:t>80%</w:t>
      </w:r>
      <w:r>
        <w:rPr>
          <w:rFonts w:hint="eastAsia" w:ascii="仿宋_GB2312" w:hAnsi="Times New Roman" w:eastAsia="仿宋_GB2312" w:cs="仿宋_GB2312"/>
        </w:rPr>
        <w:t>）、</w:t>
      </w:r>
      <w:r>
        <w:rPr>
          <w:rFonts w:ascii="仿宋_GB2312" w:hAnsi="Times New Roman" w:eastAsia="仿宋_GB2312" w:cs="仿宋_GB2312"/>
        </w:rPr>
        <w:t>80-50%</w:t>
      </w:r>
      <w:r>
        <w:rPr>
          <w:rFonts w:hint="eastAsia" w:ascii="仿宋_GB2312" w:hAnsi="Times New Roman" w:eastAsia="仿宋_GB2312" w:cs="仿宋_GB2312"/>
        </w:rPr>
        <w:t>（含</w:t>
      </w:r>
      <w:r>
        <w:rPr>
          <w:rFonts w:ascii="仿宋_GB2312" w:hAnsi="Times New Roman" w:eastAsia="仿宋_GB2312" w:cs="仿宋_GB2312"/>
        </w:rPr>
        <w:t>50%</w:t>
      </w:r>
      <w:r>
        <w:rPr>
          <w:rFonts w:hint="eastAsia" w:ascii="仿宋_GB2312" w:hAnsi="Times New Roman" w:eastAsia="仿宋_GB2312" w:cs="仿宋_GB2312"/>
        </w:rPr>
        <w:t>）、</w:t>
      </w:r>
      <w:r>
        <w:rPr>
          <w:rFonts w:ascii="仿宋_GB2312" w:hAnsi="Times New Roman" w:eastAsia="仿宋_GB2312" w:cs="仿宋_GB2312"/>
        </w:rPr>
        <w:t>50-0%</w:t>
      </w:r>
      <w:r>
        <w:rPr>
          <w:rFonts w:hint="eastAsia" w:ascii="仿宋_GB2312" w:hAnsi="Times New Roman" w:eastAsia="仿宋_GB2312" w:cs="仿宋_GB2312"/>
        </w:rPr>
        <w:t>合理确定分值。汇总时，以资金额度为权重，对分值进行加权平均计算。</w:t>
      </w:r>
    </w:p>
    <w:p>
      <w:pPr>
        <w:widowControl/>
        <w:jc w:val="left"/>
        <w:rPr>
          <w:rFonts w:ascii="Arial Narrow" w:hAnsi="Arial Narrow" w:eastAsia="黑体" w:cs="黑体"/>
          <w:bCs/>
          <w:kern w:val="44"/>
          <w:sz w:val="28"/>
          <w:szCs w:val="28"/>
        </w:rPr>
      </w:pPr>
    </w:p>
    <w:p/>
    <w:p/>
    <w:p/>
    <w:p/>
    <w:p/>
    <w:p/>
    <w:p/>
    <w:p/>
    <w:p/>
    <w:p/>
    <w:p/>
    <w:p/>
    <w:p/>
    <w:p/>
    <w:p/>
    <w:p/>
    <w:p/>
    <w:p/>
    <w:p/>
    <w:p/>
    <w:p/>
    <w:p/>
    <w:p/>
    <w:p/>
    <w:p/>
    <w:p/>
    <w:p/>
    <w:p/>
    <w:p/>
    <w:p/>
    <w:p/>
    <w:p/>
    <w:p/>
    <w:p/>
    <w:p/>
    <w:p/>
    <w:p>
      <w:pPr>
        <w:pStyle w:val="2"/>
        <w:spacing w:before="0" w:after="0" w:line="240" w:lineRule="auto"/>
        <w:rPr>
          <w:rFonts w:ascii="Arial Narrow" w:hAnsi="Arial Narrow" w:eastAsia="黑体" w:cs="黑体"/>
          <w:b w:val="0"/>
          <w:sz w:val="28"/>
          <w:szCs w:val="28"/>
        </w:rPr>
      </w:pPr>
      <w:r>
        <w:rPr>
          <w:rFonts w:ascii="Arial Narrow" w:hAnsi="Arial Narrow" w:eastAsia="黑体" w:cs="黑体"/>
          <w:b w:val="0"/>
          <w:sz w:val="28"/>
          <w:szCs w:val="28"/>
        </w:rPr>
        <w:t>附件：</w:t>
      </w:r>
    </w:p>
    <w:p>
      <w:pPr>
        <w:jc w:val="center"/>
        <w:outlineLvl w:val="0"/>
        <w:rPr>
          <w:rFonts w:ascii="Arial Narrow" w:hAnsi="Arial Narrow" w:eastAsia="方正小标宋简体" w:cs="Times New Roman"/>
          <w:sz w:val="36"/>
          <w:szCs w:val="36"/>
        </w:rPr>
      </w:pPr>
      <w:r>
        <w:rPr>
          <w:rFonts w:ascii="Arial Narrow" w:hAnsi="Arial Narrow" w:eastAsia="方正小标宋简体" w:cs="方正小标宋简体"/>
          <w:sz w:val="36"/>
          <w:szCs w:val="36"/>
        </w:rPr>
        <w:t>2020年度</w:t>
      </w:r>
      <w:r>
        <w:rPr>
          <w:rFonts w:hint="eastAsia" w:ascii="Arial Narrow" w:hAnsi="Arial Narrow" w:eastAsia="方正小标宋简体" w:cs="方正小标宋简体"/>
          <w:sz w:val="36"/>
          <w:szCs w:val="36"/>
        </w:rPr>
        <w:t>湖北省政协综合事务工作类项目</w:t>
      </w:r>
      <w:r>
        <w:rPr>
          <w:rFonts w:ascii="Arial Narrow" w:hAnsi="Arial Narrow" w:eastAsia="方正小标宋简体" w:cs="方正小标宋简体"/>
          <w:sz w:val="36"/>
          <w:szCs w:val="36"/>
        </w:rPr>
        <w:t>自评表</w:t>
      </w:r>
    </w:p>
    <w:p>
      <w:pPr>
        <w:widowControl/>
        <w:jc w:val="left"/>
        <w:rPr>
          <w:rFonts w:ascii="Arial Narrow" w:hAnsi="Arial Narrow" w:eastAsia="楷体_GB2312" w:cs="楷体_GB2312"/>
          <w:kern w:val="0"/>
          <w:sz w:val="28"/>
          <w:szCs w:val="28"/>
        </w:rPr>
      </w:pP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单位名称：</w:t>
      </w:r>
      <w:r>
        <w:rPr>
          <w:rFonts w:hint="eastAsia" w:ascii="Arial Narrow" w:hAnsi="Arial Narrow" w:eastAsia="楷体_GB2312" w:cs="楷体_GB2312"/>
          <w:kern w:val="0"/>
          <w:sz w:val="28"/>
          <w:szCs w:val="28"/>
        </w:rPr>
        <w:t>湖北省政协办公厅</w:t>
      </w: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填报日期：2021年4月</w:t>
      </w:r>
      <w:r>
        <w:rPr>
          <w:rFonts w:hint="eastAsia" w:ascii="Arial Narrow" w:hAnsi="Arial Narrow" w:eastAsia="楷体_GB2312" w:cs="楷体_GB2312"/>
          <w:kern w:val="0"/>
          <w:sz w:val="28"/>
          <w:szCs w:val="28"/>
        </w:rPr>
        <w:t>26</w:t>
      </w:r>
      <w:r>
        <w:rPr>
          <w:rFonts w:ascii="Arial Narrow" w:hAnsi="Arial Narrow" w:eastAsia="楷体_GB2312" w:cs="楷体_GB2312"/>
          <w:kern w:val="0"/>
          <w:sz w:val="28"/>
          <w:szCs w:val="28"/>
        </w:rPr>
        <w:t>日</w:t>
      </w:r>
    </w:p>
    <w:tbl>
      <w:tblPr>
        <w:tblStyle w:val="10"/>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752"/>
        <w:gridCol w:w="1170"/>
        <w:gridCol w:w="1339"/>
        <w:gridCol w:w="742"/>
        <w:gridCol w:w="747"/>
        <w:gridCol w:w="919"/>
        <w:gridCol w:w="381"/>
        <w:gridCol w:w="1214"/>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项目名称</w:t>
            </w:r>
          </w:p>
        </w:tc>
        <w:tc>
          <w:tcPr>
            <w:tcW w:w="7308" w:type="dxa"/>
            <w:gridSpan w:val="8"/>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仿宋_GB2312"/>
                <w:kern w:val="0"/>
              </w:rPr>
              <w:t>湖北省政协综合事务工作类项目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主管部门</w:t>
            </w:r>
          </w:p>
        </w:tc>
        <w:tc>
          <w:tcPr>
            <w:tcW w:w="3251" w:type="dxa"/>
            <w:gridSpan w:val="3"/>
            <w:vAlign w:val="center"/>
          </w:tcPr>
          <w:p>
            <w:pPr>
              <w:widowControl/>
              <w:snapToGrid w:val="0"/>
              <w:jc w:val="left"/>
              <w:rPr>
                <w:rFonts w:ascii="Arial Narrow" w:hAnsi="Arial Narrow" w:eastAsia="仿宋_GB2312" w:cs="Times New Roman"/>
                <w:kern w:val="0"/>
              </w:rPr>
            </w:pPr>
            <w:r>
              <w:rPr>
                <w:rFonts w:hint="eastAsia" w:ascii="Arial Narrow" w:hAnsi="Arial Narrow" w:eastAsia="仿宋_GB2312" w:cs="Times New Roman"/>
                <w:kern w:val="0"/>
              </w:rPr>
              <w:t>中国人民政治协商会议湖北省委员会</w:t>
            </w:r>
          </w:p>
        </w:tc>
        <w:tc>
          <w:tcPr>
            <w:tcW w:w="1666"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项目实施单位</w:t>
            </w:r>
          </w:p>
        </w:tc>
        <w:tc>
          <w:tcPr>
            <w:tcW w:w="2391" w:type="dxa"/>
            <w:gridSpan w:val="3"/>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仿宋_GB2312"/>
                <w:kern w:val="0"/>
              </w:rPr>
              <w:t>湖北省政协办公厅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项目类别</w:t>
            </w:r>
          </w:p>
        </w:tc>
        <w:tc>
          <w:tcPr>
            <w:tcW w:w="7308" w:type="dxa"/>
            <w:gridSpan w:val="8"/>
            <w:vAlign w:val="center"/>
          </w:tcPr>
          <w:p>
            <w:pPr>
              <w:widowControl/>
              <w:snapToGrid w:val="0"/>
              <w:jc w:val="left"/>
              <w:rPr>
                <w:rFonts w:ascii="Arial Narrow" w:hAnsi="Arial Narrow" w:eastAsia="仿宋_GB2312" w:cs="Times New Roman"/>
                <w:kern w:val="0"/>
              </w:rPr>
            </w:pPr>
            <w:r>
              <w:rPr>
                <w:rFonts w:ascii="Arial Narrow" w:hAnsi="Arial Narrow" w:eastAsia="仿宋_GB2312" w:cs="仿宋_GB2312"/>
                <w:kern w:val="0"/>
              </w:rPr>
              <w:t>1、部门预算项目</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2、省直专项</w:t>
            </w:r>
            <w:r>
              <w:rPr>
                <w:rFonts w:ascii="Arial Narrow" w:hAnsi="Arial Narrow" w:eastAsia="仿宋_GB2312" w:cs="仿宋_GB2312"/>
                <w:kern w:val="0"/>
              </w:rPr>
              <w:sym w:font="Wingdings 2" w:char="00A3"/>
            </w:r>
            <w:r>
              <w:rPr>
                <w:rFonts w:ascii="Arial Narrow" w:hAnsi="Arial Narrow" w:eastAsia="仿宋_GB2312" w:cs="仿宋_GB2312"/>
                <w:kern w:val="0"/>
              </w:rPr>
              <w:t xml:space="preserve">  3、省对下转移支付项目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项目属性</w:t>
            </w:r>
          </w:p>
        </w:tc>
        <w:tc>
          <w:tcPr>
            <w:tcW w:w="7308" w:type="dxa"/>
            <w:gridSpan w:val="8"/>
            <w:vAlign w:val="center"/>
          </w:tcPr>
          <w:p>
            <w:pPr>
              <w:widowControl/>
              <w:snapToGrid w:val="0"/>
              <w:jc w:val="left"/>
              <w:rPr>
                <w:rFonts w:ascii="Arial Narrow" w:hAnsi="Arial Narrow" w:eastAsia="仿宋_GB2312" w:cs="仿宋_GB2312"/>
                <w:kern w:val="0"/>
              </w:rPr>
            </w:pPr>
            <w:r>
              <w:rPr>
                <w:rFonts w:ascii="Arial Narrow" w:hAnsi="Arial Narrow" w:eastAsia="仿宋_GB2312" w:cs="仿宋_GB2312"/>
                <w:kern w:val="0"/>
              </w:rPr>
              <w:t xml:space="preserve">1、持续性项目 </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2、新增性项目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项目类型</w:t>
            </w:r>
          </w:p>
        </w:tc>
        <w:tc>
          <w:tcPr>
            <w:tcW w:w="7308" w:type="dxa"/>
            <w:gridSpan w:val="8"/>
            <w:vAlign w:val="center"/>
          </w:tcPr>
          <w:p>
            <w:pPr>
              <w:widowControl/>
              <w:snapToGrid w:val="0"/>
              <w:jc w:val="left"/>
              <w:rPr>
                <w:rFonts w:ascii="Arial Narrow" w:hAnsi="Arial Narrow" w:eastAsia="仿宋_GB2312" w:cs="Times New Roman"/>
                <w:kern w:val="0"/>
              </w:rPr>
            </w:pPr>
            <w:r>
              <w:rPr>
                <w:rFonts w:ascii="Arial Narrow" w:hAnsi="Arial Narrow" w:eastAsia="仿宋_GB2312" w:cs="仿宋_GB2312"/>
                <w:kern w:val="0"/>
              </w:rPr>
              <w:t xml:space="preserve">1、常年性项目 </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2、延续性项目</w:t>
            </w:r>
            <w:r>
              <w:rPr>
                <w:rFonts w:ascii="Arial Narrow" w:hAnsi="Arial Narrow" w:eastAsia="仿宋_GB2312" w:cs="仿宋_GB2312"/>
                <w:kern w:val="0"/>
              </w:rPr>
              <w:sym w:font="Wingdings 2" w:char="00A3"/>
            </w:r>
            <w:r>
              <w:rPr>
                <w:rFonts w:ascii="Arial Narrow" w:hAnsi="Arial Narrow" w:eastAsia="仿宋_GB2312" w:cs="仿宋_GB2312"/>
                <w:kern w:val="0"/>
              </w:rPr>
              <w:t xml:space="preserve">      3、一次性项目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restart"/>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预算执行情况（万元）</w:t>
            </w:r>
          </w:p>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（20分）</w:t>
            </w:r>
          </w:p>
        </w:tc>
        <w:tc>
          <w:tcPr>
            <w:tcW w:w="1170" w:type="dxa"/>
            <w:vAlign w:val="center"/>
          </w:tcPr>
          <w:p>
            <w:pPr>
              <w:widowControl/>
              <w:snapToGrid w:val="0"/>
              <w:jc w:val="center"/>
              <w:rPr>
                <w:rFonts w:ascii="Arial Narrow" w:hAnsi="Arial Narrow" w:eastAsia="仿宋_GB2312" w:cs="Times New Roman"/>
                <w:kern w:val="0"/>
              </w:rPr>
            </w:pPr>
          </w:p>
        </w:tc>
        <w:tc>
          <w:tcPr>
            <w:tcW w:w="1339" w:type="dxa"/>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预算数（A）</w:t>
            </w:r>
          </w:p>
        </w:tc>
        <w:tc>
          <w:tcPr>
            <w:tcW w:w="1489" w:type="dxa"/>
            <w:gridSpan w:val="2"/>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执行数（B）</w:t>
            </w:r>
          </w:p>
        </w:tc>
        <w:tc>
          <w:tcPr>
            <w:tcW w:w="1300" w:type="dxa"/>
            <w:gridSpan w:val="2"/>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执行率（B/A）</w:t>
            </w:r>
          </w:p>
        </w:tc>
        <w:tc>
          <w:tcPr>
            <w:tcW w:w="201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得分</w:t>
            </w:r>
          </w:p>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（20分*执行率）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continue"/>
            <w:tcBorders>
              <w:bottom w:val="single" w:color="000000" w:sz="4" w:space="0"/>
            </w:tcBorders>
            <w:vAlign w:val="center"/>
          </w:tcPr>
          <w:p>
            <w:pPr>
              <w:widowControl/>
              <w:snapToGrid w:val="0"/>
              <w:jc w:val="center"/>
              <w:rPr>
                <w:rFonts w:ascii="Arial Narrow" w:hAnsi="Arial Narrow" w:eastAsia="仿宋_GB2312" w:cs="Times New Roman"/>
                <w:kern w:val="0"/>
              </w:rPr>
            </w:pPr>
          </w:p>
        </w:tc>
        <w:tc>
          <w:tcPr>
            <w:tcW w:w="1170" w:type="dxa"/>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年度财政资金总额</w:t>
            </w:r>
          </w:p>
        </w:tc>
        <w:tc>
          <w:tcPr>
            <w:tcW w:w="1339" w:type="dxa"/>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1,710.00</w:t>
            </w:r>
          </w:p>
        </w:tc>
        <w:tc>
          <w:tcPr>
            <w:tcW w:w="1489"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1,462.78</w:t>
            </w:r>
          </w:p>
        </w:tc>
        <w:tc>
          <w:tcPr>
            <w:tcW w:w="1300"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85.54%</w:t>
            </w:r>
          </w:p>
        </w:tc>
        <w:tc>
          <w:tcPr>
            <w:tcW w:w="2010"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17.11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ascii="Arial Narrow" w:hAnsi="Arial Narrow" w:eastAsia="仿宋_GB2312" w:cs="Times New Roman"/>
                <w:kern w:val="0"/>
              </w:rPr>
            </w:pPr>
            <w:r>
              <w:rPr>
                <w:rFonts w:hint="eastAsia" w:ascii="Arial Narrow" w:hAnsi="Arial Narrow" w:eastAsia="仿宋_GB2312" w:cs="仿宋_GB2312"/>
                <w:kern w:val="0"/>
                <w:lang w:bidi="ar"/>
              </w:rPr>
              <w:t>年度绩效目标（80.00分）</w:t>
            </w:r>
          </w:p>
        </w:tc>
        <w:tc>
          <w:tcPr>
            <w:tcW w:w="75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Arial Narrow" w:hAnsi="Arial Narrow" w:eastAsia="仿宋_GB2312" w:cs="Times New Roman"/>
                <w:kern w:val="0"/>
              </w:rPr>
            </w:pPr>
            <w:r>
              <w:rPr>
                <w:rFonts w:ascii="Arial Narrow" w:hAnsi="Arial Narrow" w:eastAsia="仿宋_GB2312" w:cs="仿宋_GB2312"/>
                <w:kern w:val="0"/>
              </w:rPr>
              <w:t>一级指标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二级指标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三级指标</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年初目标值（A）</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实际完成值（B）</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nil"/>
              <w:left w:val="single" w:color="000000" w:sz="4" w:space="0"/>
              <w:bottom w:val="nil"/>
              <w:right w:val="single" w:color="000000" w:sz="4" w:space="0"/>
            </w:tcBorders>
            <w:vAlign w:val="center"/>
          </w:tcPr>
          <w:p>
            <w:pPr>
              <w:widowControl/>
              <w:jc w:val="center"/>
              <w:textAlignment w:val="center"/>
              <w:rPr>
                <w:rFonts w:ascii="Arial Narrow" w:hAnsi="Arial Narrow" w:eastAsia="仿宋_GB2312" w:cs="Times New Roman"/>
                <w:kern w:val="0"/>
              </w:rPr>
            </w:pPr>
          </w:p>
        </w:tc>
        <w:tc>
          <w:tcPr>
            <w:tcW w:w="7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产出指标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接待港澳台侨各界、海外华人华侨、外国访问团来鄂考察访问活动次数（6分）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宋体"/>
                <w:kern w:val="0"/>
              </w:rPr>
            </w:pPr>
            <w:r>
              <w:rPr>
                <w:rFonts w:hint="eastAsia" w:ascii="Arial Narrow" w:hAnsi="Arial Narrow" w:eastAsia="仿宋_GB2312" w:cs="仿宋_GB2312"/>
                <w:kern w:val="0"/>
                <w:lang w:bidi="ar"/>
              </w:rPr>
              <w:t>7批次</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cs="仿宋_GB2312"/>
                <w:kern w:val="0"/>
                <w:lang w:bidi="ar"/>
              </w:rPr>
              <w:t>6批次</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888" w:type="dxa"/>
            <w:vMerge w:val="continue"/>
            <w:tcBorders>
              <w:top w:val="nil"/>
              <w:left w:val="single" w:color="000000" w:sz="4" w:space="0"/>
              <w:bottom w:val="nil"/>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兄弟省市领导考察、调研接待次数（6分）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cs="仿宋_GB2312"/>
                <w:kern w:val="0"/>
                <w:lang w:bidi="ar"/>
              </w:rPr>
              <w:t>22批</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12批</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Arial Narrow" w:cs="Arial Narrow"/>
                <w:kern w:val="0"/>
                <w:lang w:bidi="ar"/>
              </w:rPr>
              <w:t xml:space="preserve">3.27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nil"/>
              <w:left w:val="single" w:color="000000" w:sz="4" w:space="0"/>
              <w:bottom w:val="nil"/>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国家领导人视察调研接待</w:t>
            </w:r>
          </w:p>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次数（6分）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15批</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9批</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cs="仿宋_GB2312" w:eastAsiaTheme="minorEastAsia"/>
                <w:kern w:val="0"/>
                <w:lang w:bidi="ar"/>
              </w:rPr>
            </w:pPr>
            <w:r>
              <w:rPr>
                <w:rFonts w:ascii="Arial Narrow" w:hAnsi="Arial Narrow" w:eastAsia="Arial Narrow" w:cs="Arial Narrow"/>
                <w:kern w:val="0"/>
                <w:lang w:bidi="ar"/>
              </w:rPr>
              <w:t>3.6</w:t>
            </w:r>
            <w:r>
              <w:rPr>
                <w:rFonts w:hint="eastAsia" w:ascii="Arial Narrow" w:hAnsi="Arial Narrow" w:cs="Arial Narrow" w:eastAsiaTheme="minorEastAsia"/>
                <w:kern w:val="0"/>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nil"/>
              <w:left w:val="single" w:color="000000" w:sz="4" w:space="0"/>
              <w:bottom w:val="nil"/>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政协门户网站日均访问量</w:t>
            </w:r>
          </w:p>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（7分）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750</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&gt;2000</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nil"/>
              <w:left w:val="single" w:color="000000" w:sz="4" w:space="0"/>
              <w:bottom w:val="nil"/>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机关日常事务管理平台</w:t>
            </w:r>
          </w:p>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使用率（7分）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70%</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86.05%</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nil"/>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质量指标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机关信息化建设水平自评分（8分）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90分</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90分</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nil"/>
              <w:right w:val="single" w:color="000000" w:sz="4" w:space="0"/>
            </w:tcBorders>
            <w:vAlign w:val="center"/>
          </w:tcPr>
          <w:p>
            <w:pPr>
              <w:jc w:val="center"/>
              <w:rPr>
                <w:rFonts w:ascii="Arial Narrow" w:hAnsi="Arial Narrow" w:eastAsia="仿宋_GB2312" w:cs="Times New Roman"/>
                <w:kern w:val="0"/>
              </w:rPr>
            </w:pPr>
          </w:p>
        </w:tc>
        <w:tc>
          <w:tcPr>
            <w:tcW w:w="752" w:type="dxa"/>
            <w:tcBorders>
              <w:top w:val="single" w:color="000000" w:sz="4" w:space="0"/>
              <w:left w:val="single" w:color="000000" w:sz="4" w:space="0"/>
              <w:bottom w:val="nil"/>
              <w:right w:val="single" w:color="000000" w:sz="4" w:space="0"/>
            </w:tcBorders>
            <w:vAlign w:val="center"/>
          </w:tcPr>
          <w:p>
            <w:pPr>
              <w:jc w:val="center"/>
              <w:rPr>
                <w:rFonts w:ascii="Arial Narrow" w:hAnsi="Arial Narrow" w:eastAsia="仿宋_GB2312" w:cs="Times New Roman"/>
                <w:kern w:val="0"/>
              </w:rPr>
            </w:pPr>
            <w:r>
              <w:rPr>
                <w:rFonts w:hint="eastAsia" w:ascii="Arial Narrow" w:hAnsi="Arial Narrow" w:eastAsia="仿宋_GB2312" w:cs="Times New Roman"/>
                <w:kern w:val="0"/>
              </w:rPr>
              <w:t>效益指标</w:t>
            </w:r>
          </w:p>
        </w:tc>
        <w:tc>
          <w:tcPr>
            <w:tcW w:w="1170"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社会效益指标</w:t>
            </w:r>
          </w:p>
        </w:tc>
        <w:tc>
          <w:tcPr>
            <w:tcW w:w="2828" w:type="dxa"/>
            <w:gridSpan w:val="3"/>
            <w:tcBorders>
              <w:top w:val="single" w:color="000000" w:sz="4" w:space="0"/>
              <w:left w:val="single" w:color="000000" w:sz="4" w:space="0"/>
              <w:bottom w:val="nil"/>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综合治理获奖数（40分）</w:t>
            </w:r>
          </w:p>
        </w:tc>
        <w:tc>
          <w:tcPr>
            <w:tcW w:w="1300" w:type="dxa"/>
            <w:gridSpan w:val="2"/>
            <w:tcBorders>
              <w:top w:val="single" w:color="000000" w:sz="4" w:space="0"/>
              <w:left w:val="single" w:color="000000" w:sz="4" w:space="0"/>
              <w:bottom w:val="nil"/>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1次</w:t>
            </w:r>
          </w:p>
        </w:tc>
        <w:tc>
          <w:tcPr>
            <w:tcW w:w="1214"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1次</w:t>
            </w:r>
          </w:p>
        </w:tc>
        <w:tc>
          <w:tcPr>
            <w:tcW w:w="796"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总分</w:t>
            </w:r>
          </w:p>
        </w:tc>
        <w:tc>
          <w:tcPr>
            <w:tcW w:w="7308" w:type="dxa"/>
            <w:gridSpan w:val="8"/>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Arial Narrow" w:hAnsi="Arial Narrow" w:eastAsia="仿宋_GB2312" w:cs="Times New Roman"/>
                <w:kern w:val="0"/>
              </w:rPr>
            </w:pPr>
            <w:r>
              <w:rPr>
                <w:rFonts w:hint="eastAsia" w:ascii="Arial Narrow" w:hAnsi="Arial Narrow" w:eastAsia="仿宋_GB2312" w:cs="Times New Roman"/>
                <w:kern w:val="0"/>
              </w:rPr>
              <w:t>91.12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3" w:hRule="atLeast"/>
          <w:jc w:val="center"/>
        </w:trPr>
        <w:tc>
          <w:tcPr>
            <w:tcW w:w="1640" w:type="dxa"/>
            <w:gridSpan w:val="2"/>
            <w:tcBorders>
              <w:top w:val="single" w:color="000000" w:sz="4" w:space="0"/>
              <w:right w:val="single" w:color="auto" w:sz="4" w:space="0"/>
            </w:tcBorders>
            <w:vAlign w:val="center"/>
          </w:tcPr>
          <w:p>
            <w:pPr>
              <w:widowControl/>
              <w:spacing w:line="360" w:lineRule="exact"/>
              <w:jc w:val="center"/>
              <w:rPr>
                <w:rFonts w:ascii="Arial Narrow" w:hAnsi="Arial Narrow" w:eastAsia="仿宋_GB2312" w:cs="Times New Roman"/>
                <w:kern w:val="0"/>
              </w:rPr>
            </w:pPr>
            <w:r>
              <w:rPr>
                <w:rFonts w:ascii="Arial Narrow" w:hAnsi="Arial Narrow" w:eastAsia="仿宋_GB2312" w:cs="仿宋_GB2312"/>
                <w:kern w:val="0"/>
              </w:rPr>
              <w:t>偏差大或</w:t>
            </w:r>
          </w:p>
          <w:p>
            <w:pPr>
              <w:widowControl/>
              <w:spacing w:line="360" w:lineRule="exact"/>
              <w:jc w:val="center"/>
              <w:rPr>
                <w:rFonts w:ascii="Arial Narrow" w:hAnsi="Arial Narrow" w:eastAsia="仿宋_GB2312" w:cs="Times New Roman"/>
                <w:kern w:val="0"/>
              </w:rPr>
            </w:pPr>
            <w:r>
              <w:rPr>
                <w:rFonts w:ascii="Arial Narrow" w:hAnsi="Arial Narrow" w:eastAsia="仿宋_GB2312" w:cs="仿宋_GB2312"/>
                <w:kern w:val="0"/>
              </w:rPr>
              <w:t>目标未完成</w:t>
            </w:r>
          </w:p>
          <w:p>
            <w:pPr>
              <w:widowControl/>
              <w:spacing w:line="360" w:lineRule="exact"/>
              <w:jc w:val="center"/>
              <w:rPr>
                <w:rFonts w:ascii="Arial Narrow" w:hAnsi="Arial Narrow" w:eastAsia="仿宋_GB2312" w:cs="Times New Roman"/>
                <w:kern w:val="0"/>
              </w:rPr>
            </w:pPr>
            <w:r>
              <w:rPr>
                <w:rFonts w:ascii="Arial Narrow" w:hAnsi="Arial Narrow" w:eastAsia="仿宋_GB2312" w:cs="仿宋_GB2312"/>
                <w:kern w:val="0"/>
              </w:rPr>
              <w:t>原因分析</w:t>
            </w:r>
          </w:p>
        </w:tc>
        <w:tc>
          <w:tcPr>
            <w:tcW w:w="7308" w:type="dxa"/>
            <w:gridSpan w:val="8"/>
            <w:tcBorders>
              <w:top w:val="single" w:color="000000" w:sz="4" w:space="0"/>
              <w:left w:val="single" w:color="auto" w:sz="4" w:space="0"/>
              <w:right w:val="single" w:color="auto" w:sz="4" w:space="0"/>
            </w:tcBorders>
            <w:vAlign w:val="center"/>
          </w:tcPr>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1.</w:t>
            </w:r>
            <w:r>
              <w:rPr>
                <w:rFonts w:ascii="Arial Narrow" w:hAnsi="Arial Narrow" w:eastAsia="仿宋_GB2312" w:cs="Times New Roman"/>
                <w:kern w:val="0"/>
              </w:rPr>
              <w:t>部分绩效指标值未达到年初目标。如计划接待港澳台侨各界、海外华人华侨、外国访问团来鄂考察访问活动7批次，实际接待6批次，计划接待兄弟省市领导考察、调研22批次，实际接待12批次，计划接待国家领导人视察调研15批次，实际接待9批次，主要是因为受疫情影响，港澳台侨各界、海外华人华侨、外国访问团来鄂考察访问活动次数及国家领导人视察、兄弟省市领导考察调研次数减少。</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2.</w:t>
            </w:r>
            <w:r>
              <w:rPr>
                <w:rFonts w:ascii="Arial Narrow" w:hAnsi="Arial Narrow" w:eastAsia="仿宋_GB2312" w:cs="Times New Roman"/>
                <w:kern w:val="0"/>
              </w:rPr>
              <w:t>项目绩效指标体系科学性有待提升。一是评价结果未全面体现项目资金支出的效益，“湖北省政协综合事务工作类项目”资金支出方向中，近一半的资金用于保障机关办公运行，包括物业管理费、电费、维修（护）费、劳务费等，但是年初项目申报表中，没有绩效指标对该支出方向的资金进行评价；二是产出指标中，“接待港澳台侨各界、海外华人华侨、外国访问团来鄂考察访问活动次数”、“兄弟省市领导考察、调研接待次数”、“国家领导人视察调研接待次数”3个数量指标评价方向相似，可以合并或者筛选后保留1-2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8" w:hRule="atLeast"/>
          <w:jc w:val="center"/>
        </w:trPr>
        <w:tc>
          <w:tcPr>
            <w:tcW w:w="1640" w:type="dxa"/>
            <w:gridSpan w:val="2"/>
            <w:vAlign w:val="center"/>
          </w:tcPr>
          <w:p>
            <w:pPr>
              <w:widowControl/>
              <w:spacing w:line="360" w:lineRule="exact"/>
              <w:jc w:val="center"/>
              <w:rPr>
                <w:rFonts w:ascii="Arial Narrow" w:hAnsi="Arial Narrow" w:eastAsia="仿宋_GB2312" w:cs="Times New Roman"/>
                <w:kern w:val="0"/>
              </w:rPr>
            </w:pPr>
            <w:r>
              <w:rPr>
                <w:rFonts w:ascii="Arial Narrow" w:hAnsi="Arial Narrow" w:eastAsia="仿宋_GB2312" w:cs="仿宋_GB2312"/>
                <w:kern w:val="0"/>
              </w:rPr>
              <w:t>改进措施及</w:t>
            </w:r>
          </w:p>
          <w:p>
            <w:pPr>
              <w:widowControl/>
              <w:spacing w:line="360" w:lineRule="exact"/>
              <w:jc w:val="center"/>
              <w:rPr>
                <w:rFonts w:ascii="Arial Narrow" w:hAnsi="Arial Narrow" w:eastAsia="仿宋_GB2312" w:cs="Times New Roman"/>
                <w:kern w:val="0"/>
              </w:rPr>
            </w:pPr>
            <w:r>
              <w:rPr>
                <w:rFonts w:ascii="Arial Narrow" w:hAnsi="Arial Narrow" w:eastAsia="仿宋_GB2312" w:cs="仿宋_GB2312"/>
                <w:kern w:val="0"/>
              </w:rPr>
              <w:t>结果应用方案</w:t>
            </w:r>
          </w:p>
        </w:tc>
        <w:tc>
          <w:tcPr>
            <w:tcW w:w="7308" w:type="dxa"/>
            <w:gridSpan w:val="8"/>
            <w:vAlign w:val="center"/>
          </w:tcPr>
          <w:p>
            <w:pPr>
              <w:widowControl/>
              <w:ind w:firstLine="420" w:firstLineChars="200"/>
              <w:jc w:val="left"/>
              <w:rPr>
                <w:rFonts w:ascii="Arial Narrow" w:hAnsi="Arial Narrow" w:eastAsia="仿宋_GB2312" w:cs="Times New Roman"/>
                <w:kern w:val="0"/>
              </w:rPr>
            </w:pPr>
            <w:r>
              <w:rPr>
                <w:rFonts w:ascii="Arial Narrow" w:hAnsi="Arial Narrow" w:eastAsia="仿宋_GB2312" w:cs="Times New Roman"/>
                <w:kern w:val="0"/>
              </w:rPr>
              <w:t>1.项目完善及绩效目标调整。</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w:t>
            </w:r>
            <w:r>
              <w:rPr>
                <w:rFonts w:ascii="Arial Narrow" w:hAnsi="Arial Narrow" w:eastAsia="仿宋_GB2312" w:cs="Times New Roman"/>
                <w:kern w:val="0"/>
              </w:rPr>
              <w:t>1）项目完善：一是充分发挥政协侨务工作优势，加强同海外侨胞和港澳人士的团结联系、交流合作，起到凝聚人心、画大同心圆的积极作用；二是综合考虑疫情防控要求，合理安排接待及交流工作，采用多种形式加强学习与交流，广泛凝聚共识，做好宣传和舆论引导，配合视察工作。</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w:t>
            </w:r>
            <w:r>
              <w:rPr>
                <w:rFonts w:ascii="Arial Narrow" w:hAnsi="Arial Narrow" w:eastAsia="仿宋_GB2312" w:cs="Times New Roman"/>
                <w:kern w:val="0"/>
              </w:rPr>
              <w:t>2）绩效目标调整：根据项目资金支出方向和具体实施内容，完善项目绩效指标体系，调整绩效指标目标值。一是设置“办公环境保障度”指标，从公共设施故障报修、卫生状况巡检、会议室完备程度等多方面对用于保障机关办公运行的资金支出效益进行评价；二是将“兄弟省市领导考察、调研接待次数”、“国家领导人视察调研接待次数”2个指标合并，修改为“接待考察、视察调研次数”指标，优化项目绩效指标体系；三是考虑疫情常态化防控需求，将“接待考察、视察调研次数”指标目标值设置为20批次。</w:t>
            </w:r>
          </w:p>
          <w:p>
            <w:pPr>
              <w:widowControl/>
              <w:ind w:firstLine="420" w:firstLineChars="200"/>
              <w:jc w:val="left"/>
              <w:rPr>
                <w:rFonts w:ascii="Arial Narrow" w:hAnsi="Arial Narrow" w:eastAsia="仿宋_GB2312" w:cs="Times New Roman"/>
                <w:kern w:val="0"/>
              </w:rPr>
            </w:pPr>
            <w:r>
              <w:rPr>
                <w:rFonts w:ascii="Arial Narrow" w:hAnsi="Arial Narrow" w:eastAsia="仿宋_GB2312" w:cs="Times New Roman"/>
                <w:kern w:val="0"/>
              </w:rPr>
              <w:t>2.拟与预算安排相结合情况。</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落实绩效评价结果与预算安排相结合制度，一是根据预算执行情况适当调整项目额度，实行资金安排与绩效评价结果挂钩机制，同时根据绩效自评结果，确定下一年度预算执行情况及指标完成情况的跟踪监控方向；二是设置“办公环境保障度”指标，指标目标值为95</w:t>
            </w:r>
            <w:r>
              <w:rPr>
                <w:rFonts w:ascii="Arial Narrow" w:hAnsi="Arial Narrow" w:eastAsia="仿宋_GB2312" w:cs="Times New Roman"/>
                <w:kern w:val="0"/>
              </w:rPr>
              <w:t>%，同时将“兄弟省市领导考察、调研接待次数”、“国家领导人视察调研接待次数”2个指标合并，修改为“接待考察、视察调研次数”指标，指标目标值为20批次。</w:t>
            </w:r>
          </w:p>
        </w:tc>
      </w:tr>
    </w:tbl>
    <w:p>
      <w:pPr>
        <w:widowControl/>
        <w:outlineLvl w:val="0"/>
        <w:rPr>
          <w:rFonts w:ascii="Arial Narrow" w:hAnsi="Arial Narrow" w:eastAsia="仿宋_GB2312" w:cs="Times New Roman"/>
          <w:kern w:val="0"/>
        </w:rPr>
      </w:pPr>
      <w:r>
        <w:rPr>
          <w:rFonts w:ascii="Arial Narrow" w:hAnsi="Arial Narrow" w:eastAsia="仿宋_GB2312" w:cs="仿宋_GB2312"/>
          <w:kern w:val="0"/>
        </w:rPr>
        <w:t>备注：</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1.预算执行情况口径：预算数为调整后财政资金总额（包括上年结余结转），执行数为资金使用单位财政资金实际支出数。</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2.定量指标完成数汇总原则：绝对值直接累加计算，相对值按照资金额度加权平均计算。定量指标计分原则：正向指标（即目标值为≥X,得分=权重*B/A），反向指标（即目标值为≤X，得分=权重*A/B），得分不得突破权重总额。定量指标先汇总完成数，再计算得分。</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3.定性指标计分原则：达成预期指标、部分达成预期指标并具有一定效果、未达成预期指标且效果较差三档，分别按照该指标对应分值区间100-80%（含80%）、80-50%（含50%）、50-0%合理确定分值。汇总时，以资金额度为权重，对分值进行加权平均计算。</w:t>
      </w:r>
    </w:p>
    <w:p>
      <w:pPr>
        <w:widowControl/>
        <w:ind w:firstLine="420" w:firstLineChars="200"/>
        <w:rPr>
          <w:rFonts w:ascii="Arial Narrow" w:hAnsi="Arial Narrow" w:eastAsia="仿宋_GB2312" w:cs="Times New Roman"/>
          <w:sz w:val="32"/>
          <w:szCs w:val="32"/>
        </w:rPr>
      </w:pPr>
      <w:r>
        <w:rPr>
          <w:rFonts w:ascii="Arial Narrow" w:hAnsi="Arial Narrow" w:eastAsia="仿宋_GB2312" w:cs="仿宋_GB2312"/>
          <w:kern w:val="0"/>
        </w:rPr>
        <w:t>4.基于经济性和必要性等因素考虑，满意度指标暂可不作为必评指标。</w:t>
      </w:r>
    </w:p>
    <w:p/>
    <w:p>
      <w:pPr>
        <w:pStyle w:val="2"/>
        <w:spacing w:before="0" w:after="0" w:line="240" w:lineRule="auto"/>
        <w:rPr>
          <w:rFonts w:ascii="Arial Narrow" w:hAnsi="Arial Narrow" w:eastAsia="黑体" w:cs="黑体"/>
          <w:b w:val="0"/>
          <w:sz w:val="28"/>
          <w:szCs w:val="28"/>
        </w:rPr>
      </w:pPr>
      <w:r>
        <w:rPr>
          <w:rFonts w:ascii="Arial Narrow" w:hAnsi="Arial Narrow" w:eastAsia="黑体" w:cs="黑体"/>
          <w:b w:val="0"/>
          <w:sz w:val="28"/>
          <w:szCs w:val="28"/>
        </w:rPr>
        <w:t>附件：</w:t>
      </w:r>
    </w:p>
    <w:p>
      <w:pPr>
        <w:jc w:val="center"/>
        <w:outlineLvl w:val="0"/>
        <w:rPr>
          <w:rFonts w:ascii="Arial Narrow" w:hAnsi="Arial Narrow" w:eastAsia="方正小标宋简体" w:cs="Times New Roman"/>
          <w:sz w:val="36"/>
          <w:szCs w:val="36"/>
        </w:rPr>
      </w:pPr>
      <w:r>
        <w:rPr>
          <w:rFonts w:ascii="Arial Narrow" w:hAnsi="Arial Narrow" w:eastAsia="方正小标宋简体" w:cs="方正小标宋简体"/>
          <w:sz w:val="36"/>
          <w:szCs w:val="36"/>
        </w:rPr>
        <w:t>2020年度</w:t>
      </w:r>
      <w:r>
        <w:rPr>
          <w:rFonts w:hint="eastAsia" w:ascii="Arial Narrow" w:hAnsi="Arial Narrow" w:eastAsia="方正小标宋简体" w:cs="方正小标宋简体"/>
          <w:sz w:val="36"/>
          <w:szCs w:val="36"/>
        </w:rPr>
        <w:t>湖北省政协参政议政类</w:t>
      </w:r>
      <w:r>
        <w:rPr>
          <w:rFonts w:ascii="Arial Narrow" w:hAnsi="Arial Narrow" w:eastAsia="方正小标宋简体" w:cs="方正小标宋简体"/>
          <w:sz w:val="36"/>
          <w:szCs w:val="36"/>
        </w:rPr>
        <w:t>项目自评表</w:t>
      </w:r>
    </w:p>
    <w:p>
      <w:pPr>
        <w:widowControl/>
        <w:jc w:val="left"/>
        <w:rPr>
          <w:rFonts w:ascii="Arial Narrow" w:hAnsi="Arial Narrow" w:eastAsia="楷体_GB2312" w:cs="楷体_GB2312"/>
          <w:kern w:val="0"/>
          <w:sz w:val="28"/>
          <w:szCs w:val="28"/>
        </w:rPr>
      </w:pP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单位名称：</w:t>
      </w:r>
      <w:r>
        <w:rPr>
          <w:rFonts w:hint="eastAsia" w:ascii="Arial Narrow" w:hAnsi="Arial Narrow" w:eastAsia="楷体_GB2312" w:cs="楷体_GB2312"/>
          <w:kern w:val="0"/>
          <w:sz w:val="28"/>
          <w:szCs w:val="28"/>
        </w:rPr>
        <w:t>湖北省政协办公厅</w:t>
      </w: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填报日期：2021年4月</w:t>
      </w:r>
      <w:r>
        <w:rPr>
          <w:rFonts w:hint="eastAsia" w:ascii="Arial Narrow" w:hAnsi="Arial Narrow" w:eastAsia="楷体_GB2312" w:cs="楷体_GB2312"/>
          <w:kern w:val="0"/>
          <w:sz w:val="28"/>
          <w:szCs w:val="28"/>
        </w:rPr>
        <w:t>26</w:t>
      </w:r>
      <w:r>
        <w:rPr>
          <w:rFonts w:ascii="Arial Narrow" w:hAnsi="Arial Narrow" w:eastAsia="楷体_GB2312" w:cs="楷体_GB2312"/>
          <w:kern w:val="0"/>
          <w:sz w:val="28"/>
          <w:szCs w:val="28"/>
        </w:rPr>
        <w:t>日</w:t>
      </w:r>
    </w:p>
    <w:tbl>
      <w:tblPr>
        <w:tblStyle w:val="10"/>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752"/>
        <w:gridCol w:w="1170"/>
        <w:gridCol w:w="1339"/>
        <w:gridCol w:w="742"/>
        <w:gridCol w:w="747"/>
        <w:gridCol w:w="919"/>
        <w:gridCol w:w="381"/>
        <w:gridCol w:w="1214"/>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项目名称</w:t>
            </w:r>
          </w:p>
        </w:tc>
        <w:tc>
          <w:tcPr>
            <w:tcW w:w="7308" w:type="dxa"/>
            <w:gridSpan w:val="8"/>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仿宋_GB2312"/>
                <w:kern w:val="0"/>
              </w:rPr>
              <w:t>湖北省政协参政议政类项目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主管部门</w:t>
            </w:r>
          </w:p>
        </w:tc>
        <w:tc>
          <w:tcPr>
            <w:tcW w:w="3251" w:type="dxa"/>
            <w:gridSpan w:val="3"/>
            <w:vAlign w:val="center"/>
          </w:tcPr>
          <w:p>
            <w:pPr>
              <w:widowControl/>
              <w:snapToGrid w:val="0"/>
              <w:jc w:val="left"/>
              <w:rPr>
                <w:rFonts w:ascii="Arial Narrow" w:hAnsi="Arial Narrow" w:eastAsia="仿宋_GB2312" w:cs="Times New Roman"/>
                <w:kern w:val="0"/>
              </w:rPr>
            </w:pPr>
            <w:r>
              <w:rPr>
                <w:rFonts w:hint="eastAsia" w:ascii="Arial Narrow" w:hAnsi="Arial Narrow" w:eastAsia="仿宋_GB2312" w:cs="Times New Roman"/>
                <w:kern w:val="0"/>
              </w:rPr>
              <w:t>中国人民政治协商会议湖北省委员会</w:t>
            </w:r>
          </w:p>
        </w:tc>
        <w:tc>
          <w:tcPr>
            <w:tcW w:w="1666"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项目实施单位</w:t>
            </w:r>
          </w:p>
        </w:tc>
        <w:tc>
          <w:tcPr>
            <w:tcW w:w="2391" w:type="dxa"/>
            <w:gridSpan w:val="3"/>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仿宋_GB2312"/>
                <w:kern w:val="0"/>
              </w:rPr>
              <w:t>湖北省政协办公厅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项目类别</w:t>
            </w:r>
          </w:p>
        </w:tc>
        <w:tc>
          <w:tcPr>
            <w:tcW w:w="7308" w:type="dxa"/>
            <w:gridSpan w:val="8"/>
            <w:vAlign w:val="center"/>
          </w:tcPr>
          <w:p>
            <w:pPr>
              <w:widowControl/>
              <w:snapToGrid w:val="0"/>
              <w:jc w:val="left"/>
              <w:rPr>
                <w:rFonts w:ascii="Arial Narrow" w:hAnsi="Arial Narrow" w:eastAsia="仿宋_GB2312" w:cs="Times New Roman"/>
                <w:kern w:val="0"/>
              </w:rPr>
            </w:pPr>
            <w:r>
              <w:rPr>
                <w:rFonts w:ascii="Arial Narrow" w:hAnsi="Arial Narrow" w:eastAsia="仿宋_GB2312" w:cs="仿宋_GB2312"/>
                <w:kern w:val="0"/>
              </w:rPr>
              <w:t>1、部门预算项目</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2、省直专项</w:t>
            </w:r>
            <w:r>
              <w:rPr>
                <w:rFonts w:ascii="Arial Narrow" w:hAnsi="Arial Narrow" w:eastAsia="仿宋_GB2312" w:cs="仿宋_GB2312"/>
                <w:kern w:val="0"/>
              </w:rPr>
              <w:sym w:font="Wingdings 2" w:char="00A3"/>
            </w:r>
            <w:r>
              <w:rPr>
                <w:rFonts w:ascii="Arial Narrow" w:hAnsi="Arial Narrow" w:eastAsia="仿宋_GB2312" w:cs="仿宋_GB2312"/>
                <w:kern w:val="0"/>
              </w:rPr>
              <w:t xml:space="preserve">  3、省对下转移支付项目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项目属性</w:t>
            </w:r>
          </w:p>
        </w:tc>
        <w:tc>
          <w:tcPr>
            <w:tcW w:w="7308" w:type="dxa"/>
            <w:gridSpan w:val="8"/>
            <w:vAlign w:val="center"/>
          </w:tcPr>
          <w:p>
            <w:pPr>
              <w:widowControl/>
              <w:snapToGrid w:val="0"/>
              <w:jc w:val="left"/>
              <w:rPr>
                <w:rFonts w:ascii="Arial Narrow" w:hAnsi="Arial Narrow" w:eastAsia="仿宋_GB2312" w:cs="仿宋_GB2312"/>
                <w:kern w:val="0"/>
              </w:rPr>
            </w:pPr>
            <w:r>
              <w:rPr>
                <w:rFonts w:ascii="Arial Narrow" w:hAnsi="Arial Narrow" w:eastAsia="仿宋_GB2312" w:cs="仿宋_GB2312"/>
                <w:kern w:val="0"/>
              </w:rPr>
              <w:t xml:space="preserve">1、持续性项目 </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2、新增性项目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项目类型</w:t>
            </w:r>
          </w:p>
        </w:tc>
        <w:tc>
          <w:tcPr>
            <w:tcW w:w="7308" w:type="dxa"/>
            <w:gridSpan w:val="8"/>
            <w:vAlign w:val="center"/>
          </w:tcPr>
          <w:p>
            <w:pPr>
              <w:widowControl/>
              <w:snapToGrid w:val="0"/>
              <w:jc w:val="left"/>
              <w:rPr>
                <w:rFonts w:ascii="Arial Narrow" w:hAnsi="Arial Narrow" w:eastAsia="仿宋_GB2312" w:cs="Times New Roman"/>
                <w:kern w:val="0"/>
              </w:rPr>
            </w:pPr>
            <w:r>
              <w:rPr>
                <w:rFonts w:ascii="Arial Narrow" w:hAnsi="Arial Narrow" w:eastAsia="仿宋_GB2312" w:cs="仿宋_GB2312"/>
                <w:kern w:val="0"/>
              </w:rPr>
              <w:t xml:space="preserve">1、常年性项目 </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2、延续性项目</w:t>
            </w:r>
            <w:r>
              <w:rPr>
                <w:rFonts w:ascii="Arial Narrow" w:hAnsi="Arial Narrow" w:eastAsia="仿宋_GB2312" w:cs="仿宋_GB2312"/>
                <w:kern w:val="0"/>
              </w:rPr>
              <w:sym w:font="Wingdings 2" w:char="00A3"/>
            </w:r>
            <w:r>
              <w:rPr>
                <w:rFonts w:ascii="Arial Narrow" w:hAnsi="Arial Narrow" w:eastAsia="仿宋_GB2312" w:cs="仿宋_GB2312"/>
                <w:kern w:val="0"/>
              </w:rPr>
              <w:t xml:space="preserve">      3、一次性项目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restart"/>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预算执行情况（万元）</w:t>
            </w:r>
          </w:p>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（20分）</w:t>
            </w:r>
          </w:p>
        </w:tc>
        <w:tc>
          <w:tcPr>
            <w:tcW w:w="1170" w:type="dxa"/>
            <w:vAlign w:val="center"/>
          </w:tcPr>
          <w:p>
            <w:pPr>
              <w:widowControl/>
              <w:snapToGrid w:val="0"/>
              <w:jc w:val="center"/>
              <w:rPr>
                <w:rFonts w:ascii="Arial Narrow" w:hAnsi="Arial Narrow" w:eastAsia="仿宋_GB2312" w:cs="Times New Roman"/>
                <w:kern w:val="0"/>
              </w:rPr>
            </w:pPr>
          </w:p>
        </w:tc>
        <w:tc>
          <w:tcPr>
            <w:tcW w:w="1339" w:type="dxa"/>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预算数（A）</w:t>
            </w:r>
          </w:p>
        </w:tc>
        <w:tc>
          <w:tcPr>
            <w:tcW w:w="1489" w:type="dxa"/>
            <w:gridSpan w:val="2"/>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执行数（B）</w:t>
            </w:r>
          </w:p>
        </w:tc>
        <w:tc>
          <w:tcPr>
            <w:tcW w:w="1300" w:type="dxa"/>
            <w:gridSpan w:val="2"/>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执行率（B/A）</w:t>
            </w:r>
          </w:p>
        </w:tc>
        <w:tc>
          <w:tcPr>
            <w:tcW w:w="201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得分</w:t>
            </w:r>
          </w:p>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（20分*执行率）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continue"/>
            <w:tcBorders>
              <w:bottom w:val="single" w:color="000000" w:sz="4" w:space="0"/>
            </w:tcBorders>
            <w:vAlign w:val="center"/>
          </w:tcPr>
          <w:p>
            <w:pPr>
              <w:widowControl/>
              <w:snapToGrid w:val="0"/>
              <w:jc w:val="center"/>
              <w:rPr>
                <w:rFonts w:ascii="Arial Narrow" w:hAnsi="Arial Narrow" w:eastAsia="仿宋_GB2312" w:cs="Times New Roman"/>
                <w:kern w:val="0"/>
              </w:rPr>
            </w:pPr>
          </w:p>
        </w:tc>
        <w:tc>
          <w:tcPr>
            <w:tcW w:w="1170" w:type="dxa"/>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年度财政资金总额</w:t>
            </w:r>
          </w:p>
        </w:tc>
        <w:tc>
          <w:tcPr>
            <w:tcW w:w="1339" w:type="dxa"/>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875.00</w:t>
            </w:r>
          </w:p>
        </w:tc>
        <w:tc>
          <w:tcPr>
            <w:tcW w:w="1489"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597.41</w:t>
            </w:r>
          </w:p>
        </w:tc>
        <w:tc>
          <w:tcPr>
            <w:tcW w:w="1300"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68.28%</w:t>
            </w:r>
          </w:p>
        </w:tc>
        <w:tc>
          <w:tcPr>
            <w:tcW w:w="2010"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hint="eastAsia" w:ascii="Arial Narrow" w:hAnsi="Arial Narrow" w:eastAsia="仿宋_GB2312" w:cs="Times New Roman"/>
                <w:kern w:val="0"/>
              </w:rPr>
              <w:t>13.66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hint="eastAsia" w:ascii="Arial Narrow" w:hAnsi="Arial Narrow" w:eastAsia="仿宋_GB2312" w:cs="仿宋_GB2312"/>
                <w:kern w:val="0"/>
                <w:lang w:bidi="ar"/>
              </w:rPr>
              <w:t>年度绩效目标（80.00分）</w:t>
            </w:r>
          </w:p>
        </w:tc>
        <w:tc>
          <w:tcPr>
            <w:tcW w:w="75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Arial Narrow" w:hAnsi="Arial Narrow" w:eastAsia="仿宋_GB2312" w:cs="Times New Roman"/>
                <w:kern w:val="0"/>
              </w:rPr>
            </w:pPr>
            <w:r>
              <w:rPr>
                <w:rFonts w:ascii="Arial Narrow" w:hAnsi="Arial Narrow" w:eastAsia="仿宋_GB2312" w:cs="仿宋_GB2312"/>
                <w:kern w:val="0"/>
              </w:rPr>
              <w:t>一级指标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二级指标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三级指标</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年初目标值（A）</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实际完成值（B）</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p>
        </w:tc>
        <w:tc>
          <w:tcPr>
            <w:tcW w:w="7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产出指标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《学习与思考》期数（6分）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宋体"/>
                <w:kern w:val="0"/>
              </w:rPr>
            </w:pPr>
            <w:r>
              <w:rPr>
                <w:rFonts w:hint="eastAsia" w:ascii="Arial Narrow" w:hAnsi="Arial Narrow" w:eastAsia="仿宋_GB2312" w:cs="仿宋_GB2312"/>
                <w:kern w:val="0"/>
                <w:lang w:bidi="ar"/>
              </w:rPr>
              <w:t>4期</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cs="仿宋_GB2312"/>
                <w:kern w:val="0"/>
                <w:lang w:bidi="ar"/>
              </w:rPr>
              <w:t>4期</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《湖北文史》期数（6分）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cs="仿宋_GB2312"/>
                <w:kern w:val="0"/>
                <w:lang w:bidi="ar"/>
              </w:rPr>
              <w:t>2期</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cs="仿宋_GB2312"/>
                <w:kern w:val="0"/>
                <w:lang w:bidi="ar"/>
              </w:rPr>
              <w:t>1期</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《湖北政协》刊数（6分）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12期</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12期</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hint="eastAsia" w:ascii="Arial Narrow" w:hAnsi="Arial Narrow" w:eastAsia="仿宋_GB2312" w:cs="仿宋_GB2312"/>
                <w:kern w:val="0"/>
                <w:lang w:bidi="ar"/>
              </w:rPr>
              <w:t>委员提案立案件数（11分）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665件</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rPr>
              <w:t>763件</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委员参加学习培训的参与率（11分）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cs="仿宋_GB2312"/>
                <w:kern w:val="0"/>
                <w:lang w:bidi="ar"/>
              </w:rPr>
              <w:t>96%</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hint="eastAsia" w:ascii="Arial Narrow" w:hAnsi="Arial Narrow" w:eastAsia="仿宋_GB2312" w:cs="仿宋_GB2312"/>
                <w:kern w:val="0"/>
                <w:lang w:bidi="ar"/>
              </w:rPr>
              <w:t>100%</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r>
              <w:rPr>
                <w:rFonts w:hint="eastAsia" w:ascii="Arial Narrow" w:hAnsi="Arial Narrow" w:eastAsia="仿宋_GB2312" w:cs="Times New Roman"/>
                <w:kern w:val="0"/>
              </w:rPr>
              <w:t>社会效益指标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社会效益指标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开展界别活动对社会的影响力（20分）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作用明显</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作用明显</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社会效益指标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提案追踪宣传效果（20分）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覆盖全省辐射全国</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覆盖全省辐射全国</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总分</w:t>
            </w:r>
          </w:p>
        </w:tc>
        <w:tc>
          <w:tcPr>
            <w:tcW w:w="7308" w:type="dxa"/>
            <w:gridSpan w:val="8"/>
            <w:vAlign w:val="center"/>
          </w:tcPr>
          <w:p>
            <w:pPr>
              <w:snapToGrid w:val="0"/>
              <w:jc w:val="center"/>
              <w:rPr>
                <w:rFonts w:ascii="Arial Narrow" w:hAnsi="Arial Narrow" w:eastAsia="仿宋_GB2312" w:cs="Times New Roman"/>
                <w:kern w:val="0"/>
              </w:rPr>
            </w:pPr>
            <w:r>
              <w:rPr>
                <w:rFonts w:hint="eastAsia" w:ascii="Arial Narrow" w:hAnsi="Arial Narrow" w:eastAsia="仿宋_GB2312" w:cs="Times New Roman"/>
                <w:kern w:val="0"/>
              </w:rPr>
              <w:t>90.66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0" w:hRule="atLeast"/>
          <w:jc w:val="center"/>
        </w:trPr>
        <w:tc>
          <w:tcPr>
            <w:tcW w:w="1640" w:type="dxa"/>
            <w:gridSpan w:val="2"/>
            <w:vAlign w:val="center"/>
          </w:tcPr>
          <w:p>
            <w:pPr>
              <w:widowControl/>
              <w:jc w:val="center"/>
              <w:rPr>
                <w:rFonts w:ascii="Arial Narrow" w:hAnsi="Arial Narrow" w:eastAsia="仿宋_GB2312" w:cs="Times New Roman"/>
                <w:kern w:val="0"/>
              </w:rPr>
            </w:pPr>
            <w:r>
              <w:rPr>
                <w:rFonts w:ascii="Arial Narrow" w:hAnsi="Arial Narrow" w:eastAsia="仿宋_GB2312" w:cs="仿宋_GB2312"/>
                <w:kern w:val="0"/>
              </w:rPr>
              <w:t>偏差大或</w:t>
            </w:r>
          </w:p>
          <w:p>
            <w:pPr>
              <w:widowControl/>
              <w:jc w:val="center"/>
              <w:rPr>
                <w:rFonts w:ascii="Arial Narrow" w:hAnsi="Arial Narrow" w:eastAsia="仿宋_GB2312" w:cs="Times New Roman"/>
                <w:kern w:val="0"/>
              </w:rPr>
            </w:pPr>
            <w:r>
              <w:rPr>
                <w:rFonts w:ascii="Arial Narrow" w:hAnsi="Arial Narrow" w:eastAsia="仿宋_GB2312" w:cs="仿宋_GB2312"/>
                <w:kern w:val="0"/>
              </w:rPr>
              <w:t>目标未完成</w:t>
            </w:r>
          </w:p>
          <w:p>
            <w:pPr>
              <w:widowControl/>
              <w:jc w:val="center"/>
              <w:rPr>
                <w:rFonts w:ascii="Arial Narrow" w:hAnsi="Arial Narrow" w:eastAsia="仿宋_GB2312" w:cs="Times New Roman"/>
                <w:kern w:val="0"/>
              </w:rPr>
            </w:pPr>
            <w:r>
              <w:rPr>
                <w:rFonts w:ascii="Arial Narrow" w:hAnsi="Arial Narrow" w:eastAsia="仿宋_GB2312" w:cs="仿宋_GB2312"/>
                <w:kern w:val="0"/>
              </w:rPr>
              <w:t>原因分析</w:t>
            </w:r>
          </w:p>
        </w:tc>
        <w:tc>
          <w:tcPr>
            <w:tcW w:w="7308" w:type="dxa"/>
            <w:gridSpan w:val="8"/>
            <w:vAlign w:val="center"/>
          </w:tcPr>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1.</w:t>
            </w:r>
            <w:r>
              <w:rPr>
                <w:rFonts w:ascii="Arial Narrow" w:hAnsi="Arial Narrow" w:eastAsia="仿宋_GB2312" w:cs="Times New Roman"/>
                <w:kern w:val="0"/>
              </w:rPr>
              <w:t>《湖北文史》出版期数未达到年初目标值。年初计划出版《湖北文史》2期，实际出版1期，拟出版的《湖北文史》109辑“抗疫专辑”已完成组稿、编审工作，但因涉及抗击新冠疫情，省主管部门认为，该书稿所涉及人物、图片、数字等细节和重大节点、重大结论等相关内容表述比较敏感，难以全部一一核准，为慎重起见，建议此书稿作为内部资料留存，因此未出版。</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2.</w:t>
            </w:r>
            <w:r>
              <w:rPr>
                <w:rFonts w:ascii="Arial Narrow" w:hAnsi="Arial Narrow" w:eastAsia="仿宋_GB2312" w:cs="Times New Roman"/>
                <w:kern w:val="0"/>
              </w:rPr>
              <w:t>效益指标完成程度难以量化评价。“开展界别活动对社会的影响力”指标、“提案追踪宣传效果”指标目标值均为定性描述，不便于对指标完成程度进行量化评价，项目实施效果的评价结论容易受到主观影响。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9" w:hRule="atLeast"/>
          <w:jc w:val="center"/>
        </w:trPr>
        <w:tc>
          <w:tcPr>
            <w:tcW w:w="1640" w:type="dxa"/>
            <w:gridSpan w:val="2"/>
            <w:vAlign w:val="center"/>
          </w:tcPr>
          <w:p>
            <w:pPr>
              <w:widowControl/>
              <w:jc w:val="center"/>
              <w:rPr>
                <w:rFonts w:ascii="Arial Narrow" w:hAnsi="Arial Narrow" w:eastAsia="仿宋_GB2312" w:cs="Times New Roman"/>
                <w:kern w:val="0"/>
              </w:rPr>
            </w:pPr>
            <w:r>
              <w:rPr>
                <w:rFonts w:ascii="Arial Narrow" w:hAnsi="Arial Narrow" w:eastAsia="仿宋_GB2312" w:cs="仿宋_GB2312"/>
                <w:kern w:val="0"/>
              </w:rPr>
              <w:t>改进措施及</w:t>
            </w:r>
          </w:p>
          <w:p>
            <w:pPr>
              <w:widowControl/>
              <w:jc w:val="center"/>
              <w:rPr>
                <w:rFonts w:ascii="Arial Narrow" w:hAnsi="Arial Narrow" w:eastAsia="仿宋_GB2312" w:cs="Times New Roman"/>
                <w:kern w:val="0"/>
              </w:rPr>
            </w:pPr>
            <w:r>
              <w:rPr>
                <w:rFonts w:ascii="Arial Narrow" w:hAnsi="Arial Narrow" w:eastAsia="仿宋_GB2312" w:cs="仿宋_GB2312"/>
                <w:kern w:val="0"/>
              </w:rPr>
              <w:t>结果应用方案</w:t>
            </w:r>
          </w:p>
        </w:tc>
        <w:tc>
          <w:tcPr>
            <w:tcW w:w="7308" w:type="dxa"/>
            <w:gridSpan w:val="8"/>
            <w:vAlign w:val="center"/>
          </w:tcPr>
          <w:p>
            <w:pPr>
              <w:widowControl/>
              <w:ind w:firstLine="420" w:firstLineChars="200"/>
              <w:jc w:val="left"/>
              <w:rPr>
                <w:rFonts w:ascii="Arial Narrow" w:hAnsi="Arial Narrow" w:eastAsia="仿宋_GB2312" w:cs="Times New Roman"/>
                <w:kern w:val="0"/>
              </w:rPr>
            </w:pPr>
            <w:r>
              <w:rPr>
                <w:rFonts w:ascii="Arial Narrow" w:hAnsi="Arial Narrow" w:eastAsia="仿宋_GB2312" w:cs="Times New Roman"/>
                <w:kern w:val="0"/>
              </w:rPr>
              <w:t>1.项目完善及绩效目标调整。</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w:t>
            </w:r>
            <w:r>
              <w:rPr>
                <w:rFonts w:ascii="Arial Narrow" w:hAnsi="Arial Narrow" w:eastAsia="仿宋_GB2312" w:cs="Times New Roman"/>
                <w:kern w:val="0"/>
              </w:rPr>
              <w:t>1）项目完善：充分发挥政协优势，广泛凝聚各阶层力量和智慧，宣传荆楚文化，树立正确的创作导向，同时发挥文史资料存史、资政、团结、育人的功能，为两个文明建设服务。</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w:t>
            </w:r>
            <w:r>
              <w:rPr>
                <w:rFonts w:ascii="Arial Narrow" w:hAnsi="Arial Narrow" w:eastAsia="仿宋_GB2312" w:cs="Times New Roman"/>
                <w:kern w:val="0"/>
              </w:rPr>
              <w:t>2）绩效目标调整：一是做好调研和计划，充分考虑各项影响因素，合理设置绩效目标值；二是根据项目资金支出方向和实际实施内容，设置可量化的效益指标，便于对指标完成程度进行量化评价，客观反映项目实施后的效果，如将“提案追踪宣传效果”指标修改为“提案追踪全年累计观看人数”指标，用观看《提案追踪》栏目的全年累计人数来反映提案追踪宣传效果。</w:t>
            </w:r>
          </w:p>
          <w:p>
            <w:pPr>
              <w:widowControl/>
              <w:ind w:firstLine="420" w:firstLineChars="200"/>
              <w:jc w:val="left"/>
              <w:rPr>
                <w:rFonts w:ascii="Arial Narrow" w:hAnsi="Arial Narrow" w:eastAsia="仿宋_GB2312" w:cs="Times New Roman"/>
                <w:kern w:val="0"/>
              </w:rPr>
            </w:pPr>
            <w:r>
              <w:rPr>
                <w:rFonts w:ascii="Arial Narrow" w:hAnsi="Arial Narrow" w:eastAsia="仿宋_GB2312" w:cs="Times New Roman"/>
                <w:kern w:val="0"/>
              </w:rPr>
              <w:t>2.拟与预算安排相结合情况。</w:t>
            </w:r>
          </w:p>
          <w:p>
            <w:pPr>
              <w:widowControl/>
              <w:ind w:firstLine="420" w:firstLineChars="200"/>
              <w:jc w:val="left"/>
              <w:rPr>
                <w:rFonts w:ascii="Arial Narrow" w:hAnsi="Arial Narrow" w:eastAsia="仿宋_GB2312" w:cs="Times New Roman"/>
                <w:kern w:val="0"/>
              </w:rPr>
            </w:pPr>
            <w:r>
              <w:rPr>
                <w:rFonts w:hint="eastAsia" w:ascii="Arial Narrow" w:hAnsi="Arial Narrow" w:eastAsia="仿宋_GB2312" w:cs="Times New Roman"/>
                <w:kern w:val="0"/>
              </w:rPr>
              <w:t>落实绩效评价结果与预算安排相结合制度，一是根据预算执行情况适当调整项目额度，实行资金安排与绩效评价结果挂钩机制，同时根据绩效自评结果，确定下一年度预算执行情况及指标完成情况的跟踪监控方向；二是设置可量化的效益指标，将“开展界别活动对社会的影响力”指标修改为“界别活动社会影响度”指标，指标目标值为</w:t>
            </w:r>
            <w:r>
              <w:rPr>
                <w:rFonts w:ascii="Arial Narrow" w:hAnsi="Arial Narrow" w:eastAsia="仿宋_GB2312" w:cs="Times New Roman"/>
                <w:kern w:val="0"/>
              </w:rPr>
              <w:t>100%，将“提案追踪宣传效果”指标修改为“提案追踪全年累计观看人数”指标，指标目标值为1700万人。</w:t>
            </w:r>
          </w:p>
        </w:tc>
      </w:tr>
    </w:tbl>
    <w:p>
      <w:pPr>
        <w:widowControl/>
        <w:outlineLvl w:val="0"/>
        <w:rPr>
          <w:rFonts w:ascii="Arial Narrow" w:hAnsi="Arial Narrow" w:eastAsia="仿宋_GB2312" w:cs="Times New Roman"/>
          <w:kern w:val="0"/>
        </w:rPr>
      </w:pPr>
      <w:r>
        <w:rPr>
          <w:rFonts w:ascii="Arial Narrow" w:hAnsi="Arial Narrow" w:eastAsia="仿宋_GB2312" w:cs="仿宋_GB2312"/>
          <w:kern w:val="0"/>
        </w:rPr>
        <w:t>备注：</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1.预算执行情况口径：预算数为调整后财政资金总额（包括上年结余结转），执行数为资金使用单位财政资金实际支出数。</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2.定量指标完成数汇总原则：绝对值直接累加计算，相对值按照资金额度加权平均计算。定量指标计分原则：正向指标（即目标值为≥X,得分=权重*B/A），反向指标（即目标值为≤X，得分=权重*A/B），得分不得突破权重总额。定量指标先汇总完成数，再计算得分。</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3.定性指标计分原则：达成预期指标、部分达成预期指标并具有一定效果、未达成预期指标且效果较差三档，分别按照该指标对应分值区间100-80%（含80%）、80-50%（含50%）、50-0%合理确定分值。汇总时，以资金额度为权重，对分值进行加权平均计算。</w:t>
      </w:r>
    </w:p>
    <w:p>
      <w:pPr>
        <w:widowControl/>
        <w:ind w:firstLine="420" w:firstLineChars="200"/>
        <w:rPr>
          <w:rFonts w:ascii="Arial Narrow" w:hAnsi="Arial Narrow" w:eastAsia="仿宋_GB2312" w:cs="Times New Roman"/>
          <w:sz w:val="32"/>
          <w:szCs w:val="32"/>
        </w:rPr>
      </w:pPr>
      <w:r>
        <w:rPr>
          <w:rFonts w:ascii="Arial Narrow" w:hAnsi="Arial Narrow" w:eastAsia="仿宋_GB2312" w:cs="仿宋_GB2312"/>
          <w:kern w:val="0"/>
        </w:rPr>
        <w:t>4.基于经济性和必要性等因素考虑，满意度指标暂可不作为必评指标。</w:t>
      </w:r>
    </w:p>
    <w:p/>
    <w:p/>
    <w:p/>
    <w:p/>
    <w:p/>
    <w:p/>
    <w:p/>
    <w:p>
      <w:pPr>
        <w:widowControl/>
        <w:jc w:val="left"/>
        <w:rPr>
          <w:rFonts w:ascii="Arial Narrow" w:hAnsi="Arial Narrow" w:eastAsia="黑体" w:cs="黑体"/>
          <w:b/>
          <w:sz w:val="28"/>
          <w:szCs w:val="28"/>
        </w:rPr>
      </w:pPr>
      <w:r>
        <w:rPr>
          <w:rFonts w:ascii="Arial Narrow" w:hAnsi="Arial Narrow" w:eastAsia="黑体" w:cs="黑体"/>
          <w:sz w:val="28"/>
          <w:szCs w:val="28"/>
        </w:rPr>
        <w:t>附件：</w:t>
      </w:r>
    </w:p>
    <w:p>
      <w:pPr>
        <w:jc w:val="center"/>
        <w:outlineLvl w:val="0"/>
        <w:rPr>
          <w:rFonts w:ascii="Arial Narrow" w:hAnsi="Arial Narrow" w:eastAsia="方正小标宋简体" w:cs="Times New Roman"/>
          <w:sz w:val="36"/>
          <w:szCs w:val="36"/>
        </w:rPr>
      </w:pPr>
      <w:r>
        <w:rPr>
          <w:rFonts w:ascii="Arial Narrow" w:hAnsi="Arial Narrow" w:eastAsia="方正小标宋简体" w:cs="方正小标宋简体"/>
          <w:sz w:val="36"/>
          <w:szCs w:val="36"/>
        </w:rPr>
        <w:t>2020年度湖北省政协委员视察调研监督类项目自评表</w:t>
      </w:r>
    </w:p>
    <w:p>
      <w:pPr>
        <w:widowControl/>
        <w:jc w:val="left"/>
        <w:rPr>
          <w:rFonts w:ascii="Arial Narrow" w:hAnsi="Arial Narrow" w:eastAsia="楷体_GB2312" w:cs="楷体_GB2312"/>
          <w:kern w:val="0"/>
          <w:sz w:val="28"/>
          <w:szCs w:val="28"/>
        </w:rPr>
      </w:pP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单位名称：湖北省政协办公厅</w:t>
      </w: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填报日期：2021年4月26日</w:t>
      </w:r>
    </w:p>
    <w:tbl>
      <w:tblPr>
        <w:tblStyle w:val="10"/>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752"/>
        <w:gridCol w:w="1170"/>
        <w:gridCol w:w="1339"/>
        <w:gridCol w:w="742"/>
        <w:gridCol w:w="747"/>
        <w:gridCol w:w="919"/>
        <w:gridCol w:w="381"/>
        <w:gridCol w:w="1214"/>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项目名称</w:t>
            </w:r>
          </w:p>
        </w:tc>
        <w:tc>
          <w:tcPr>
            <w:tcW w:w="7308" w:type="dxa"/>
            <w:gridSpan w:val="8"/>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湖北省政协委员视察调研监督类项目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主管部门</w:t>
            </w:r>
          </w:p>
        </w:tc>
        <w:tc>
          <w:tcPr>
            <w:tcW w:w="3251" w:type="dxa"/>
            <w:gridSpan w:val="3"/>
            <w:vAlign w:val="center"/>
          </w:tcPr>
          <w:p>
            <w:pPr>
              <w:widowControl/>
              <w:snapToGrid w:val="0"/>
              <w:jc w:val="left"/>
              <w:rPr>
                <w:rFonts w:ascii="Arial Narrow" w:hAnsi="Arial Narrow" w:eastAsia="仿宋_GB2312" w:cs="Times New Roman"/>
                <w:kern w:val="0"/>
              </w:rPr>
            </w:pPr>
            <w:r>
              <w:rPr>
                <w:rFonts w:ascii="Arial Narrow" w:hAnsi="Arial Narrow" w:eastAsia="仿宋_GB2312" w:cs="Times New Roman"/>
                <w:kern w:val="0"/>
              </w:rPr>
              <w:t>中国人民政治协商会议湖北省委员会</w:t>
            </w:r>
          </w:p>
        </w:tc>
        <w:tc>
          <w:tcPr>
            <w:tcW w:w="1666"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项目实施单位</w:t>
            </w:r>
          </w:p>
        </w:tc>
        <w:tc>
          <w:tcPr>
            <w:tcW w:w="2391" w:type="dxa"/>
            <w:gridSpan w:val="3"/>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湖北省政协办公厅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项目类别</w:t>
            </w:r>
          </w:p>
        </w:tc>
        <w:tc>
          <w:tcPr>
            <w:tcW w:w="7308" w:type="dxa"/>
            <w:gridSpan w:val="8"/>
            <w:vAlign w:val="center"/>
          </w:tcPr>
          <w:p>
            <w:pPr>
              <w:widowControl/>
              <w:snapToGrid w:val="0"/>
              <w:jc w:val="left"/>
              <w:rPr>
                <w:rFonts w:ascii="Arial Narrow" w:hAnsi="Arial Narrow" w:eastAsia="仿宋_GB2312" w:cs="Times New Roman"/>
                <w:kern w:val="0"/>
              </w:rPr>
            </w:pPr>
            <w:r>
              <w:rPr>
                <w:rFonts w:ascii="Arial Narrow" w:hAnsi="Arial Narrow" w:eastAsia="仿宋_GB2312" w:cs="仿宋_GB2312"/>
                <w:kern w:val="0"/>
              </w:rPr>
              <w:t>1、部门预算项目</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2、省直专项</w:t>
            </w:r>
            <w:r>
              <w:rPr>
                <w:rFonts w:ascii="Arial Narrow" w:hAnsi="Arial Narrow" w:eastAsia="仿宋_GB2312" w:cs="仿宋_GB2312"/>
                <w:kern w:val="0"/>
              </w:rPr>
              <w:sym w:font="Wingdings 2" w:char="00A3"/>
            </w:r>
            <w:r>
              <w:rPr>
                <w:rFonts w:ascii="Arial Narrow" w:hAnsi="Arial Narrow" w:eastAsia="仿宋_GB2312" w:cs="仿宋_GB2312"/>
                <w:kern w:val="0"/>
              </w:rPr>
              <w:t xml:space="preserve">  3、省对下转移支付项目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项目属性</w:t>
            </w:r>
          </w:p>
        </w:tc>
        <w:tc>
          <w:tcPr>
            <w:tcW w:w="7308" w:type="dxa"/>
            <w:gridSpan w:val="8"/>
            <w:vAlign w:val="center"/>
          </w:tcPr>
          <w:p>
            <w:pPr>
              <w:widowControl/>
              <w:snapToGrid w:val="0"/>
              <w:jc w:val="left"/>
              <w:rPr>
                <w:rFonts w:ascii="Arial Narrow" w:hAnsi="Arial Narrow" w:eastAsia="仿宋_GB2312" w:cs="仿宋_GB2312"/>
                <w:kern w:val="0"/>
              </w:rPr>
            </w:pPr>
            <w:r>
              <w:rPr>
                <w:rFonts w:ascii="Arial Narrow" w:hAnsi="Arial Narrow" w:eastAsia="仿宋_GB2312" w:cs="仿宋_GB2312"/>
                <w:kern w:val="0"/>
              </w:rPr>
              <w:t xml:space="preserve">1、持续性项目 </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2、新增性项目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项目类型</w:t>
            </w:r>
          </w:p>
        </w:tc>
        <w:tc>
          <w:tcPr>
            <w:tcW w:w="7308" w:type="dxa"/>
            <w:gridSpan w:val="8"/>
            <w:vAlign w:val="center"/>
          </w:tcPr>
          <w:p>
            <w:pPr>
              <w:widowControl/>
              <w:snapToGrid w:val="0"/>
              <w:jc w:val="left"/>
              <w:rPr>
                <w:rFonts w:ascii="Arial Narrow" w:hAnsi="Arial Narrow" w:eastAsia="仿宋_GB2312" w:cs="Times New Roman"/>
                <w:kern w:val="0"/>
              </w:rPr>
            </w:pPr>
            <w:r>
              <w:rPr>
                <w:rFonts w:ascii="Arial Narrow" w:hAnsi="Arial Narrow" w:eastAsia="仿宋_GB2312" w:cs="仿宋_GB2312"/>
                <w:kern w:val="0"/>
              </w:rPr>
              <w:t xml:space="preserve">1、常年性项目 </w:t>
            </w:r>
            <w:r>
              <w:rPr>
                <w:rFonts w:ascii="Arial Narrow" w:hAnsi="Arial Narrow" w:eastAsia="仿宋_GB2312" w:cs="仿宋_GB2312"/>
                <w:kern w:val="0"/>
              </w:rPr>
              <w:sym w:font="Wingdings 2" w:char="0052"/>
            </w:r>
            <w:r>
              <w:rPr>
                <w:rFonts w:ascii="Arial Narrow" w:hAnsi="Arial Narrow" w:eastAsia="仿宋_GB2312" w:cs="仿宋_GB2312"/>
                <w:kern w:val="0"/>
              </w:rPr>
              <w:t xml:space="preserve">   2、延续性项目</w:t>
            </w:r>
            <w:r>
              <w:rPr>
                <w:rFonts w:ascii="Arial Narrow" w:hAnsi="Arial Narrow" w:eastAsia="仿宋_GB2312" w:cs="仿宋_GB2312"/>
                <w:kern w:val="0"/>
              </w:rPr>
              <w:sym w:font="Wingdings 2" w:char="00A3"/>
            </w:r>
            <w:r>
              <w:rPr>
                <w:rFonts w:ascii="Arial Narrow" w:hAnsi="Arial Narrow" w:eastAsia="仿宋_GB2312" w:cs="仿宋_GB2312"/>
                <w:kern w:val="0"/>
              </w:rPr>
              <w:t xml:space="preserve">      3、一次性项目</w:t>
            </w:r>
            <w:r>
              <w:rPr>
                <w:rFonts w:ascii="Arial Narrow" w:hAnsi="Arial Narrow" w:eastAsia="仿宋_GB2312" w:cs="仿宋_GB2312"/>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restart"/>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预算执行情况（万元）</w:t>
            </w:r>
          </w:p>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（20分）</w:t>
            </w:r>
          </w:p>
        </w:tc>
        <w:tc>
          <w:tcPr>
            <w:tcW w:w="1170" w:type="dxa"/>
            <w:vAlign w:val="center"/>
          </w:tcPr>
          <w:p>
            <w:pPr>
              <w:widowControl/>
              <w:snapToGrid w:val="0"/>
              <w:jc w:val="center"/>
              <w:rPr>
                <w:rFonts w:ascii="Arial Narrow" w:hAnsi="Arial Narrow" w:eastAsia="仿宋_GB2312" w:cs="Times New Roman"/>
                <w:kern w:val="0"/>
              </w:rPr>
            </w:pPr>
          </w:p>
        </w:tc>
        <w:tc>
          <w:tcPr>
            <w:tcW w:w="1339" w:type="dxa"/>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预算数（A）</w:t>
            </w:r>
          </w:p>
        </w:tc>
        <w:tc>
          <w:tcPr>
            <w:tcW w:w="1489" w:type="dxa"/>
            <w:gridSpan w:val="2"/>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执行数（B）</w:t>
            </w:r>
          </w:p>
        </w:tc>
        <w:tc>
          <w:tcPr>
            <w:tcW w:w="1300" w:type="dxa"/>
            <w:gridSpan w:val="2"/>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执行率（B/A）</w:t>
            </w:r>
          </w:p>
        </w:tc>
        <w:tc>
          <w:tcPr>
            <w:tcW w:w="201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得分</w:t>
            </w:r>
          </w:p>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（20分*执行率）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continue"/>
            <w:tcBorders>
              <w:bottom w:val="single" w:color="000000" w:sz="4" w:space="0"/>
            </w:tcBorders>
            <w:vAlign w:val="center"/>
          </w:tcPr>
          <w:p>
            <w:pPr>
              <w:widowControl/>
              <w:snapToGrid w:val="0"/>
              <w:jc w:val="center"/>
              <w:rPr>
                <w:rFonts w:ascii="Arial Narrow" w:hAnsi="Arial Narrow" w:eastAsia="仿宋_GB2312" w:cs="Times New Roman"/>
                <w:kern w:val="0"/>
              </w:rPr>
            </w:pPr>
          </w:p>
        </w:tc>
        <w:tc>
          <w:tcPr>
            <w:tcW w:w="1170" w:type="dxa"/>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年度财政资金总额</w:t>
            </w:r>
          </w:p>
        </w:tc>
        <w:tc>
          <w:tcPr>
            <w:tcW w:w="1339" w:type="dxa"/>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Times New Roman"/>
                <w:kern w:val="0"/>
              </w:rPr>
              <w:t>76.20</w:t>
            </w:r>
          </w:p>
        </w:tc>
        <w:tc>
          <w:tcPr>
            <w:tcW w:w="1489"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Times New Roman"/>
                <w:kern w:val="0"/>
              </w:rPr>
              <w:t xml:space="preserve">59.43 </w:t>
            </w:r>
          </w:p>
        </w:tc>
        <w:tc>
          <w:tcPr>
            <w:tcW w:w="1300"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Times New Roman"/>
                <w:kern w:val="0"/>
              </w:rPr>
              <w:t>78.00%</w:t>
            </w:r>
          </w:p>
        </w:tc>
        <w:tc>
          <w:tcPr>
            <w:tcW w:w="2010" w:type="dxa"/>
            <w:gridSpan w:val="2"/>
            <w:tcBorders>
              <w:bottom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Times New Roman"/>
                <w:kern w:val="0"/>
              </w:rPr>
              <w:t xml:space="preserve">15.60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年度绩效目标（80.00分）</w:t>
            </w:r>
          </w:p>
        </w:tc>
        <w:tc>
          <w:tcPr>
            <w:tcW w:w="75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Arial Narrow" w:hAnsi="Arial Narrow" w:eastAsia="仿宋_GB2312" w:cs="Times New Roman"/>
                <w:kern w:val="0"/>
              </w:rPr>
            </w:pPr>
            <w:r>
              <w:rPr>
                <w:rFonts w:ascii="Arial Narrow" w:hAnsi="Arial Narrow" w:eastAsia="仿宋_GB2312" w:cs="仿宋_GB2312"/>
                <w:kern w:val="0"/>
              </w:rPr>
              <w:t>一级指标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二级指标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三级指标</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年初目标值（A）</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rPr>
            </w:pPr>
            <w:r>
              <w:rPr>
                <w:rFonts w:ascii="Arial Narrow" w:hAnsi="Arial Narrow" w:eastAsia="仿宋_GB2312" w:cs="仿宋_GB2312"/>
                <w:kern w:val="0"/>
              </w:rPr>
              <w:t>实际完成值（B）</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p>
        </w:tc>
        <w:tc>
          <w:tcPr>
            <w:tcW w:w="7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产出指标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组织委员调研活动次数</w:t>
            </w:r>
          </w:p>
          <w:p>
            <w:pPr>
              <w:widowControl/>
              <w:jc w:val="center"/>
              <w:textAlignment w:val="center"/>
              <w:rPr>
                <w:rFonts w:ascii="Arial Narrow" w:hAnsi="Arial Narrow" w:eastAsia="仿宋_GB2312" w:cs="仿宋_GB2312"/>
                <w:kern w:val="0"/>
              </w:rPr>
            </w:pPr>
            <w:r>
              <w:rPr>
                <w:rFonts w:ascii="Arial Narrow" w:hAnsi="Arial Narrow" w:eastAsia="仿宋_GB2312" w:cs="仿宋_GB2312"/>
                <w:kern w:val="0"/>
                <w:lang w:bidi="ar"/>
              </w:rPr>
              <w:t>（13分）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宋体"/>
                <w:kern w:val="0"/>
              </w:rPr>
            </w:pPr>
            <w:r>
              <w:rPr>
                <w:rFonts w:ascii="Arial Narrow" w:hAnsi="Arial Narrow" w:eastAsia="仿宋_GB2312" w:cs="仿宋_GB2312"/>
                <w:kern w:val="0"/>
                <w:lang w:bidi="ar"/>
              </w:rPr>
              <w:t>50次</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ascii="Arial Narrow" w:hAnsi="Arial Narrow" w:eastAsia="仿宋_GB2312" w:cs="仿宋_GB2312"/>
                <w:kern w:val="0"/>
                <w:lang w:bidi="ar"/>
              </w:rPr>
              <w:t>64次</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ascii="Arial Narrow" w:hAnsi="Arial Narrow" w:eastAsia="仿宋_GB2312" w:cs="仿宋_GB2312"/>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ascii="Arial Narrow" w:hAnsi="Arial Narrow" w:eastAsia="仿宋_GB2312" w:cs="仿宋_GB2312"/>
                <w:kern w:val="0"/>
                <w:lang w:bidi="ar"/>
              </w:rPr>
              <w:t>反映调研考察成果的信息数量（13分）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ascii="Arial Narrow" w:hAnsi="Arial Narrow" w:eastAsia="仿宋_GB2312" w:cs="仿宋_GB2312"/>
                <w:kern w:val="0"/>
                <w:lang w:bidi="ar"/>
              </w:rPr>
              <w:t>45项</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ascii="Arial Narrow" w:hAnsi="Arial Narrow" w:eastAsia="仿宋_GB2312" w:cs="仿宋_GB2312"/>
                <w:kern w:val="0"/>
                <w:lang w:bidi="ar"/>
              </w:rPr>
              <w:t>89项</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Times New Roman"/>
                <w:kern w:val="0"/>
              </w:rPr>
            </w:pPr>
            <w:r>
              <w:rPr>
                <w:rFonts w:hint="eastAsia" w:ascii="Arial Narrow" w:hAnsi="Arial Narrow" w:eastAsia="仿宋_GB2312" w:cs="仿宋_GB2312"/>
                <w:kern w:val="0"/>
                <w:lang w:bidi="ar"/>
              </w:rPr>
              <w:t>质量</w:t>
            </w:r>
            <w:r>
              <w:rPr>
                <w:rFonts w:ascii="Arial Narrow" w:hAnsi="Arial Narrow" w:eastAsia="仿宋_GB2312" w:cs="仿宋_GB2312"/>
                <w:kern w:val="0"/>
                <w:lang w:bidi="ar"/>
              </w:rPr>
              <w:t>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rPr>
            </w:pPr>
            <w:r>
              <w:rPr>
                <w:rFonts w:ascii="Arial Narrow" w:hAnsi="Arial Narrow" w:eastAsia="仿宋_GB2312" w:cs="仿宋_GB2312"/>
                <w:kern w:val="0"/>
                <w:lang w:bidi="ar"/>
              </w:rPr>
              <w:t>合理安排参加委员界别、专业结构及成员规模进行视察（14分）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ascii="Arial Narrow" w:hAnsi="Arial Narrow" w:eastAsia="仿宋_GB2312"/>
              </w:rPr>
              <w:t>合理安排</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rPr>
            </w:pPr>
            <w:r>
              <w:rPr>
                <w:rFonts w:ascii="Arial Narrow" w:hAnsi="Arial Narrow" w:eastAsia="仿宋_GB2312"/>
              </w:rPr>
              <w:t>合理安排</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p>
        </w:tc>
        <w:tc>
          <w:tcPr>
            <w:tcW w:w="75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Times New Roman"/>
                <w:kern w:val="0"/>
              </w:rPr>
            </w:pPr>
            <w:r>
              <w:rPr>
                <w:rFonts w:ascii="Arial Narrow" w:hAnsi="Arial Narrow" w:eastAsia="仿宋_GB2312" w:cs="Times New Roman"/>
                <w:kern w:val="0"/>
              </w:rPr>
              <w:t>满意度指标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hint="eastAsia" w:ascii="Arial Narrow" w:hAnsi="Arial Narrow" w:eastAsia="仿宋_GB2312" w:cs="仿宋_GB2312"/>
                <w:kern w:val="0"/>
                <w:lang w:bidi="ar"/>
              </w:rPr>
              <w:t>服务</w:t>
            </w:r>
            <w:r>
              <w:rPr>
                <w:rFonts w:ascii="Arial Narrow" w:hAnsi="Arial Narrow" w:eastAsia="仿宋_GB2312" w:cs="仿宋_GB2312"/>
                <w:kern w:val="0"/>
                <w:lang w:bidi="ar"/>
              </w:rPr>
              <w:t>对象满意度指标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开展界别活动对社会的影响力（40分）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非常满意</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仿宋_GB2312"/>
                <w:kern w:val="0"/>
                <w:lang w:bidi="ar"/>
              </w:rPr>
            </w:pPr>
            <w:r>
              <w:rPr>
                <w:rFonts w:ascii="Arial Narrow" w:hAnsi="Arial Narrow" w:eastAsia="仿宋_GB2312" w:cs="仿宋_GB2312"/>
                <w:kern w:val="0"/>
                <w:lang w:bidi="ar"/>
              </w:rPr>
              <w:t>非常满意</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仿宋_GB2312"/>
                <w:kern w:val="0"/>
                <w:lang w:bidi="ar"/>
              </w:rPr>
            </w:pPr>
            <w:r>
              <w:rPr>
                <w:rFonts w:ascii="Arial Narrow" w:hAnsi="Arial Narrow" w:eastAsia="仿宋_GB2312" w:cs="仿宋_GB2312"/>
                <w:kern w:val="0"/>
                <w:lang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Times New Roman"/>
                <w:kern w:val="0"/>
              </w:rPr>
            </w:pPr>
            <w:r>
              <w:rPr>
                <w:rFonts w:ascii="Arial Narrow" w:hAnsi="Arial Narrow" w:eastAsia="仿宋_GB2312" w:cs="仿宋_GB2312"/>
                <w:kern w:val="0"/>
              </w:rPr>
              <w:t>总分</w:t>
            </w:r>
          </w:p>
        </w:tc>
        <w:tc>
          <w:tcPr>
            <w:tcW w:w="7308" w:type="dxa"/>
            <w:gridSpan w:val="8"/>
            <w:vAlign w:val="center"/>
          </w:tcPr>
          <w:p>
            <w:pPr>
              <w:snapToGrid w:val="0"/>
              <w:jc w:val="center"/>
              <w:rPr>
                <w:rFonts w:ascii="Arial Narrow" w:hAnsi="Arial Narrow" w:eastAsia="仿宋_GB2312" w:cs="Times New Roman"/>
                <w:kern w:val="0"/>
              </w:rPr>
            </w:pPr>
            <w:r>
              <w:rPr>
                <w:rFonts w:hint="eastAsia" w:ascii="Arial Narrow" w:hAnsi="Arial Narrow" w:eastAsia="仿宋_GB2312" w:cs="Times New Roman"/>
                <w:kern w:val="0"/>
              </w:rPr>
              <w:t>95.60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2" w:hRule="atLeast"/>
          <w:jc w:val="center"/>
        </w:trPr>
        <w:tc>
          <w:tcPr>
            <w:tcW w:w="1640" w:type="dxa"/>
            <w:gridSpan w:val="2"/>
            <w:vAlign w:val="center"/>
          </w:tcPr>
          <w:p>
            <w:pPr>
              <w:widowControl/>
              <w:snapToGrid w:val="0"/>
              <w:spacing w:line="320" w:lineRule="exact"/>
              <w:jc w:val="center"/>
              <w:rPr>
                <w:rFonts w:ascii="Arial Narrow" w:hAnsi="Arial Narrow" w:eastAsia="仿宋_GB2312" w:cs="仿宋_GB2312"/>
                <w:kern w:val="0"/>
              </w:rPr>
            </w:pPr>
            <w:r>
              <w:rPr>
                <w:rFonts w:ascii="Arial Narrow" w:hAnsi="Arial Narrow" w:eastAsia="仿宋_GB2312" w:cs="仿宋_GB2312"/>
                <w:kern w:val="0"/>
              </w:rPr>
              <w:t>偏差大或</w:t>
            </w:r>
          </w:p>
          <w:p>
            <w:pPr>
              <w:widowControl/>
              <w:snapToGrid w:val="0"/>
              <w:spacing w:line="320" w:lineRule="exact"/>
              <w:jc w:val="center"/>
              <w:rPr>
                <w:rFonts w:ascii="Arial Narrow" w:hAnsi="Arial Narrow" w:eastAsia="仿宋_GB2312" w:cs="仿宋_GB2312"/>
                <w:kern w:val="0"/>
              </w:rPr>
            </w:pPr>
            <w:r>
              <w:rPr>
                <w:rFonts w:ascii="Arial Narrow" w:hAnsi="Arial Narrow" w:eastAsia="仿宋_GB2312" w:cs="仿宋_GB2312"/>
                <w:kern w:val="0"/>
              </w:rPr>
              <w:t>目标未完成</w:t>
            </w:r>
          </w:p>
          <w:p>
            <w:pPr>
              <w:widowControl/>
              <w:snapToGrid w:val="0"/>
              <w:spacing w:line="320" w:lineRule="exact"/>
              <w:jc w:val="center"/>
              <w:rPr>
                <w:rFonts w:ascii="Arial Narrow" w:hAnsi="Arial Narrow" w:eastAsia="仿宋_GB2312" w:cs="仿宋_GB2312"/>
                <w:kern w:val="0"/>
              </w:rPr>
            </w:pPr>
            <w:r>
              <w:rPr>
                <w:rFonts w:ascii="Arial Narrow" w:hAnsi="Arial Narrow" w:eastAsia="仿宋_GB2312" w:cs="仿宋_GB2312"/>
                <w:kern w:val="0"/>
              </w:rPr>
              <w:t>原因分析</w:t>
            </w:r>
          </w:p>
        </w:tc>
        <w:tc>
          <w:tcPr>
            <w:tcW w:w="7308" w:type="dxa"/>
            <w:gridSpan w:val="8"/>
            <w:vAlign w:val="center"/>
          </w:tcPr>
          <w:p>
            <w:pPr>
              <w:snapToGrid w:val="0"/>
              <w:spacing w:line="360" w:lineRule="exact"/>
              <w:ind w:firstLine="420" w:firstLineChars="200"/>
              <w:rPr>
                <w:rFonts w:ascii="Arial Narrow" w:hAnsi="Arial Narrow" w:eastAsia="仿宋_GB2312" w:cs="Times New Roman"/>
                <w:kern w:val="0"/>
              </w:rPr>
            </w:pPr>
            <w:r>
              <w:rPr>
                <w:rFonts w:ascii="Arial Narrow" w:hAnsi="Arial Narrow" w:eastAsia="仿宋_GB2312" w:cs="Times New Roman"/>
                <w:kern w:val="0"/>
              </w:rPr>
              <w:t>评价结果未反映项目效益。年初项目申报表中本项目未设置效益指标，仅有产出指标和满意度指标，绩效指标体系不完整，评价结果难以反映项目实施成效和效果。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9" w:hRule="atLeast"/>
          <w:jc w:val="center"/>
        </w:trPr>
        <w:tc>
          <w:tcPr>
            <w:tcW w:w="1640" w:type="dxa"/>
            <w:gridSpan w:val="2"/>
            <w:vAlign w:val="center"/>
          </w:tcPr>
          <w:p>
            <w:pPr>
              <w:widowControl/>
              <w:snapToGrid w:val="0"/>
              <w:spacing w:line="320" w:lineRule="exact"/>
              <w:jc w:val="center"/>
              <w:rPr>
                <w:rFonts w:ascii="Arial Narrow" w:hAnsi="Arial Narrow" w:eastAsia="仿宋_GB2312" w:cs="仿宋_GB2312"/>
                <w:kern w:val="0"/>
              </w:rPr>
            </w:pPr>
            <w:r>
              <w:rPr>
                <w:rFonts w:ascii="Arial Narrow" w:hAnsi="Arial Narrow" w:eastAsia="仿宋_GB2312" w:cs="仿宋_GB2312"/>
                <w:kern w:val="0"/>
              </w:rPr>
              <w:t>改进措施及</w:t>
            </w:r>
          </w:p>
          <w:p>
            <w:pPr>
              <w:widowControl/>
              <w:snapToGrid w:val="0"/>
              <w:spacing w:line="320" w:lineRule="exact"/>
              <w:jc w:val="center"/>
              <w:rPr>
                <w:rFonts w:ascii="Arial Narrow" w:hAnsi="Arial Narrow" w:eastAsia="仿宋_GB2312" w:cs="仿宋_GB2312"/>
                <w:kern w:val="0"/>
              </w:rPr>
            </w:pPr>
            <w:r>
              <w:rPr>
                <w:rFonts w:ascii="Arial Narrow" w:hAnsi="Arial Narrow" w:eastAsia="仿宋_GB2312" w:cs="仿宋_GB2312"/>
                <w:kern w:val="0"/>
              </w:rPr>
              <w:t>结果应用方案</w:t>
            </w:r>
          </w:p>
        </w:tc>
        <w:tc>
          <w:tcPr>
            <w:tcW w:w="7308" w:type="dxa"/>
            <w:gridSpan w:val="8"/>
            <w:vAlign w:val="center"/>
          </w:tcPr>
          <w:p>
            <w:pPr>
              <w:snapToGrid w:val="0"/>
              <w:spacing w:line="360" w:lineRule="exact"/>
              <w:ind w:firstLine="420" w:firstLineChars="200"/>
              <w:rPr>
                <w:rFonts w:ascii="Arial Narrow" w:hAnsi="Arial Narrow" w:eastAsia="仿宋_GB2312" w:cs="Times New Roman"/>
                <w:kern w:val="0"/>
              </w:rPr>
            </w:pPr>
            <w:r>
              <w:rPr>
                <w:rFonts w:ascii="Arial Narrow" w:hAnsi="Arial Narrow" w:eastAsia="仿宋_GB2312" w:cs="Times New Roman"/>
                <w:kern w:val="0"/>
              </w:rPr>
              <w:t>1.项目完善及绩效目标调整。</w:t>
            </w:r>
          </w:p>
          <w:p>
            <w:pPr>
              <w:snapToGrid w:val="0"/>
              <w:spacing w:line="360" w:lineRule="exact"/>
              <w:ind w:firstLine="420" w:firstLineChars="200"/>
              <w:rPr>
                <w:rFonts w:ascii="Arial Narrow" w:hAnsi="Arial Narrow" w:eastAsia="仿宋_GB2312" w:cs="Times New Roman"/>
                <w:kern w:val="0"/>
              </w:rPr>
            </w:pPr>
            <w:r>
              <w:rPr>
                <w:rFonts w:ascii="Arial Narrow" w:hAnsi="Arial Narrow" w:eastAsia="仿宋_GB2312" w:cs="Times New Roman"/>
                <w:kern w:val="0"/>
              </w:rPr>
              <w:t>（1）项目完善：进一步发挥重点提案协商督办示范带动作用，认真落实中央关于人民政协民主监督内容的“两重”要求；有序组织省政协委员视察工作，反映社情民意，</w:t>
            </w:r>
            <w:r>
              <w:rPr>
                <w:rFonts w:hint="eastAsia" w:ascii="Arial Narrow" w:hAnsi="Arial Narrow" w:eastAsia="仿宋_GB2312" w:cs="Times New Roman"/>
                <w:kern w:val="0"/>
              </w:rPr>
              <w:t>为“建成支点、走在前列、谱写新篇”建言献策</w:t>
            </w:r>
            <w:r>
              <w:rPr>
                <w:rFonts w:ascii="Arial Narrow" w:hAnsi="Arial Narrow" w:eastAsia="仿宋_GB2312" w:cs="Times New Roman"/>
                <w:kern w:val="0"/>
              </w:rPr>
              <w:t>。</w:t>
            </w:r>
          </w:p>
          <w:p>
            <w:pPr>
              <w:snapToGrid w:val="0"/>
              <w:spacing w:line="360" w:lineRule="exact"/>
              <w:ind w:firstLine="420" w:firstLineChars="200"/>
              <w:rPr>
                <w:rFonts w:ascii="Arial Narrow" w:hAnsi="Arial Narrow" w:eastAsia="仿宋_GB2312" w:cs="Times New Roman"/>
                <w:kern w:val="0"/>
              </w:rPr>
            </w:pPr>
            <w:r>
              <w:rPr>
                <w:rFonts w:ascii="Arial Narrow" w:hAnsi="Arial Narrow" w:eastAsia="仿宋_GB2312" w:cs="Times New Roman"/>
                <w:kern w:val="0"/>
              </w:rPr>
              <w:t>（2）绩效目标调整：一是完善项目绩效指标体系，根据项目资金支出方向和实际实施内容，设置效益指标，全面反映项目实施后的效果，如设置“调研信息结果运用率”指标，用以反映开展视察调研活动后，形成的调研考察成果信息实际运用的情况。二是设置可量化的满意度指标值，便于对指标完成程度进行量化评价。</w:t>
            </w:r>
          </w:p>
          <w:p>
            <w:pPr>
              <w:snapToGrid w:val="0"/>
              <w:spacing w:line="360" w:lineRule="exact"/>
              <w:ind w:firstLine="420" w:firstLineChars="200"/>
              <w:rPr>
                <w:rFonts w:ascii="Arial Narrow" w:hAnsi="Arial Narrow" w:eastAsia="仿宋_GB2312" w:cs="Times New Roman"/>
                <w:kern w:val="0"/>
              </w:rPr>
            </w:pPr>
            <w:r>
              <w:rPr>
                <w:rFonts w:ascii="Arial Narrow" w:hAnsi="Arial Narrow" w:eastAsia="仿宋_GB2312" w:cs="Times New Roman"/>
                <w:kern w:val="0"/>
              </w:rPr>
              <w:t>2.拟与预算安排相结合情况。</w:t>
            </w:r>
          </w:p>
          <w:p>
            <w:pPr>
              <w:snapToGrid w:val="0"/>
              <w:spacing w:line="360" w:lineRule="exact"/>
              <w:ind w:firstLine="420" w:firstLineChars="200"/>
              <w:rPr>
                <w:rFonts w:ascii="Arial Narrow" w:hAnsi="Arial Narrow" w:eastAsia="仿宋_GB2312" w:cs="Times New Roman"/>
                <w:kern w:val="0"/>
              </w:rPr>
            </w:pPr>
            <w:r>
              <w:rPr>
                <w:rFonts w:ascii="Arial Narrow" w:hAnsi="Arial Narrow" w:eastAsia="仿宋_GB2312" w:cs="Times New Roman"/>
                <w:kern w:val="0"/>
              </w:rPr>
              <w:t>落实绩效评价结果与预算安排相结合制度，一是根据预算执行情况适当调整项目额度，实行资金安排与绩效评价结果挂钩机制，同时根据绩效自评结果，确定下一年度预算执行情况及指标完成情况的跟踪监控方向；二是完善绩效指标体系，设置可量化的效益指标，包括“调研信息结果运用率”指标，指标目标值为</w:t>
            </w:r>
            <w:r>
              <w:rPr>
                <w:rFonts w:hint="eastAsia" w:ascii="Arial Narrow" w:hAnsi="Arial Narrow" w:eastAsia="仿宋_GB2312" w:cs="Times New Roman"/>
                <w:kern w:val="0"/>
              </w:rPr>
              <w:t>2</w:t>
            </w:r>
            <w:r>
              <w:rPr>
                <w:rFonts w:ascii="Arial Narrow" w:hAnsi="Arial Narrow" w:eastAsia="仿宋_GB2312" w:cs="Times New Roman"/>
                <w:kern w:val="0"/>
              </w:rPr>
              <w:t>0%，“社情民意反馈度”指标，指标目标值为100%，“重点提案督办落实率”指标，指标目标值为100%；三是将服务对象满意度指标值调整为≥95%。</w:t>
            </w:r>
          </w:p>
        </w:tc>
      </w:tr>
    </w:tbl>
    <w:p>
      <w:pPr>
        <w:widowControl/>
        <w:outlineLvl w:val="0"/>
        <w:rPr>
          <w:rFonts w:ascii="Arial Narrow" w:hAnsi="Arial Narrow" w:eastAsia="仿宋_GB2312" w:cs="Times New Roman"/>
          <w:kern w:val="0"/>
        </w:rPr>
      </w:pPr>
      <w:r>
        <w:rPr>
          <w:rFonts w:ascii="Arial Narrow" w:hAnsi="Arial Narrow" w:eastAsia="仿宋_GB2312" w:cs="仿宋_GB2312"/>
          <w:kern w:val="0"/>
        </w:rPr>
        <w:t>备注：</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1.预算执行情况口径：预算数为调整后财政资金总额（包括上年结余结转），执行数为资金使用单位财政资金实际支出数。</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2.定量指标完成数汇总原则：绝对值直接累加计算，相对值按照资金额度加权平均计算。定量指标计分原则：正向指标（即目标值为≥X,得分=权重*B/A），反向指标（即目标值为≤X，得分=权重*A/B），得分不得突破权重总额。定量指标先汇总完成数，再计算得分。</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3.定性指标计分原则：达成预期指标、部分达成预期指标并具有一定效果、未达成预期指标且效果较差三档，分别按照该指标对应分值区间100-80%（含80%）、80-50%（含50%）、50-0%合理确定分值。汇总时，以资金额度为权重，对分值进行加权平均计算。</w:t>
      </w:r>
    </w:p>
    <w:p>
      <w:pPr>
        <w:widowControl/>
        <w:ind w:firstLine="420" w:firstLineChars="200"/>
        <w:rPr>
          <w:rFonts w:ascii="Arial Narrow" w:hAnsi="Arial Narrow" w:eastAsia="仿宋_GB2312" w:cs="Times New Roman"/>
          <w:sz w:val="32"/>
          <w:szCs w:val="32"/>
        </w:rPr>
      </w:pPr>
      <w:r>
        <w:rPr>
          <w:rFonts w:ascii="Arial Narrow" w:hAnsi="Arial Narrow" w:eastAsia="仿宋_GB2312" w:cs="仿宋_GB2312"/>
          <w:kern w:val="0"/>
        </w:rPr>
        <w:t>4.基于经济性和必要性等因素考虑，满意度指标暂可不作为必评指标。</w:t>
      </w:r>
    </w:p>
    <w:p/>
    <w:p/>
    <w:p/>
    <w:p/>
    <w:p/>
    <w:p/>
    <w:p/>
    <w:p/>
    <w:p>
      <w:pPr>
        <w:pStyle w:val="2"/>
        <w:spacing w:before="0" w:after="0" w:line="240" w:lineRule="auto"/>
        <w:rPr>
          <w:rFonts w:ascii="Arial Narrow" w:hAnsi="Arial Narrow" w:eastAsia="黑体" w:cs="黑体"/>
          <w:b w:val="0"/>
          <w:sz w:val="28"/>
          <w:szCs w:val="28"/>
        </w:rPr>
      </w:pPr>
      <w:r>
        <w:rPr>
          <w:rFonts w:ascii="Arial Narrow" w:hAnsi="Arial Narrow" w:eastAsia="黑体" w:cs="黑体"/>
          <w:b w:val="0"/>
          <w:sz w:val="28"/>
          <w:szCs w:val="28"/>
        </w:rPr>
        <w:t>附件：</w:t>
      </w:r>
    </w:p>
    <w:p>
      <w:pPr>
        <w:jc w:val="center"/>
        <w:outlineLvl w:val="0"/>
        <w:rPr>
          <w:rFonts w:ascii="Arial Narrow" w:hAnsi="Arial Narrow" w:eastAsia="方正小标宋简体" w:cs="Times New Roman"/>
          <w:sz w:val="36"/>
          <w:szCs w:val="36"/>
        </w:rPr>
      </w:pPr>
      <w:r>
        <w:rPr>
          <w:rFonts w:ascii="Arial Narrow" w:hAnsi="Arial Narrow" w:eastAsia="方正小标宋简体" w:cs="方正小标宋简体"/>
          <w:sz w:val="36"/>
          <w:szCs w:val="36"/>
        </w:rPr>
        <w:t>2020年度</w:t>
      </w:r>
      <w:r>
        <w:rPr>
          <w:rFonts w:hint="eastAsia" w:ascii="Arial Narrow" w:hAnsi="Arial Narrow" w:eastAsia="方正小标宋简体" w:cs="方正小标宋简体"/>
          <w:sz w:val="36"/>
          <w:szCs w:val="36"/>
        </w:rPr>
        <w:t>湖北省政协会议类项目</w:t>
      </w:r>
      <w:r>
        <w:rPr>
          <w:rFonts w:ascii="Arial Narrow" w:hAnsi="Arial Narrow" w:eastAsia="方正小标宋简体" w:cs="方正小标宋简体"/>
          <w:sz w:val="36"/>
          <w:szCs w:val="36"/>
        </w:rPr>
        <w:t>自评表</w:t>
      </w:r>
    </w:p>
    <w:p>
      <w:pPr>
        <w:widowControl/>
        <w:jc w:val="left"/>
        <w:rPr>
          <w:rFonts w:ascii="Arial Narrow" w:hAnsi="Arial Narrow" w:eastAsia="楷体_GB2312" w:cs="楷体_GB2312"/>
          <w:kern w:val="0"/>
          <w:sz w:val="28"/>
          <w:szCs w:val="28"/>
        </w:rPr>
      </w:pP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单位名称：</w:t>
      </w:r>
      <w:r>
        <w:rPr>
          <w:rFonts w:hint="eastAsia" w:ascii="Arial Narrow" w:hAnsi="Arial Narrow" w:eastAsia="楷体_GB2312" w:cs="楷体_GB2312"/>
          <w:kern w:val="0"/>
          <w:sz w:val="28"/>
          <w:szCs w:val="28"/>
        </w:rPr>
        <w:t>湖北省政协办公厅</w:t>
      </w:r>
    </w:p>
    <w:p>
      <w:pPr>
        <w:widowControl/>
        <w:jc w:val="left"/>
        <w:outlineLvl w:val="0"/>
        <w:rPr>
          <w:rFonts w:ascii="Arial Narrow" w:hAnsi="Arial Narrow" w:eastAsia="楷体_GB2312" w:cs="楷体_GB2312"/>
          <w:kern w:val="0"/>
          <w:sz w:val="28"/>
          <w:szCs w:val="28"/>
        </w:rPr>
      </w:pPr>
      <w:r>
        <w:rPr>
          <w:rFonts w:ascii="Arial Narrow" w:hAnsi="Arial Narrow" w:eastAsia="楷体_GB2312" w:cs="楷体_GB2312"/>
          <w:kern w:val="0"/>
          <w:sz w:val="28"/>
          <w:szCs w:val="28"/>
        </w:rPr>
        <w:t>填报日期：2021年4月</w:t>
      </w:r>
      <w:r>
        <w:rPr>
          <w:rFonts w:hint="eastAsia" w:ascii="Arial Narrow" w:hAnsi="Arial Narrow" w:eastAsia="楷体_GB2312" w:cs="楷体_GB2312"/>
          <w:kern w:val="0"/>
          <w:sz w:val="28"/>
          <w:szCs w:val="28"/>
        </w:rPr>
        <w:t>26</w:t>
      </w:r>
      <w:r>
        <w:rPr>
          <w:rFonts w:ascii="Arial Narrow" w:hAnsi="Arial Narrow" w:eastAsia="楷体_GB2312" w:cs="楷体_GB2312"/>
          <w:kern w:val="0"/>
          <w:sz w:val="28"/>
          <w:szCs w:val="28"/>
        </w:rPr>
        <w:t>日</w:t>
      </w:r>
    </w:p>
    <w:tbl>
      <w:tblPr>
        <w:tblStyle w:val="10"/>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752"/>
        <w:gridCol w:w="1170"/>
        <w:gridCol w:w="1339"/>
        <w:gridCol w:w="742"/>
        <w:gridCol w:w="747"/>
        <w:gridCol w:w="919"/>
        <w:gridCol w:w="381"/>
        <w:gridCol w:w="1214"/>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项目名称</w:t>
            </w:r>
          </w:p>
        </w:tc>
        <w:tc>
          <w:tcPr>
            <w:tcW w:w="7308" w:type="dxa"/>
            <w:gridSpan w:val="8"/>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湖北省政协会议类项目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主管部门</w:t>
            </w:r>
          </w:p>
        </w:tc>
        <w:tc>
          <w:tcPr>
            <w:tcW w:w="3251" w:type="dxa"/>
            <w:gridSpan w:val="3"/>
            <w:vAlign w:val="center"/>
          </w:tcPr>
          <w:p>
            <w:pPr>
              <w:widowControl/>
              <w:snapToGrid w:val="0"/>
              <w:jc w:val="left"/>
              <w:rPr>
                <w:rFonts w:ascii="Arial Narrow" w:hAnsi="Arial Narrow" w:eastAsia="仿宋_GB2312" w:cs="Arial Narrow"/>
                <w:kern w:val="0"/>
              </w:rPr>
            </w:pPr>
            <w:r>
              <w:rPr>
                <w:rFonts w:ascii="Arial Narrow" w:hAnsi="Arial Narrow" w:eastAsia="仿宋_GB2312" w:cs="Arial Narrow"/>
                <w:kern w:val="0"/>
              </w:rPr>
              <w:t>中国人民政治协商会议湖北省委员会</w:t>
            </w:r>
          </w:p>
        </w:tc>
        <w:tc>
          <w:tcPr>
            <w:tcW w:w="1666"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项目实施单位</w:t>
            </w:r>
          </w:p>
        </w:tc>
        <w:tc>
          <w:tcPr>
            <w:tcW w:w="2391" w:type="dxa"/>
            <w:gridSpan w:val="3"/>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湖北省政协办公厅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项目类别</w:t>
            </w:r>
          </w:p>
        </w:tc>
        <w:tc>
          <w:tcPr>
            <w:tcW w:w="7308" w:type="dxa"/>
            <w:gridSpan w:val="8"/>
            <w:vAlign w:val="center"/>
          </w:tcPr>
          <w:p>
            <w:pPr>
              <w:widowControl/>
              <w:snapToGrid w:val="0"/>
              <w:jc w:val="left"/>
              <w:rPr>
                <w:rFonts w:ascii="Arial Narrow" w:hAnsi="Arial Narrow" w:eastAsia="仿宋_GB2312" w:cs="Arial Narrow"/>
                <w:kern w:val="0"/>
              </w:rPr>
            </w:pPr>
            <w:r>
              <w:rPr>
                <w:rFonts w:ascii="Arial Narrow" w:hAnsi="Arial Narrow" w:eastAsia="仿宋_GB2312" w:cs="Arial Narrow"/>
                <w:kern w:val="0"/>
              </w:rPr>
              <w:t>1、部门预算项目</w:t>
            </w:r>
            <w:r>
              <w:rPr>
                <w:rFonts w:ascii="Arial Narrow" w:hAnsi="Arial Narrow" w:eastAsia="仿宋_GB2312" w:cs="Arial Narrow"/>
                <w:kern w:val="0"/>
              </w:rPr>
              <w:sym w:font="Wingdings 2" w:char="0052"/>
            </w:r>
            <w:r>
              <w:rPr>
                <w:rFonts w:ascii="Arial Narrow" w:hAnsi="Arial Narrow" w:eastAsia="仿宋_GB2312" w:cs="Arial Narrow"/>
                <w:kern w:val="0"/>
              </w:rPr>
              <w:t xml:space="preserve">  2、省直专项</w:t>
            </w:r>
            <w:r>
              <w:rPr>
                <w:rFonts w:ascii="Arial Narrow" w:hAnsi="Arial Narrow" w:eastAsia="仿宋_GB2312" w:cs="Arial Narrow"/>
                <w:kern w:val="0"/>
              </w:rPr>
              <w:sym w:font="Wingdings 2" w:char="00A3"/>
            </w:r>
            <w:r>
              <w:rPr>
                <w:rFonts w:ascii="Arial Narrow" w:hAnsi="Arial Narrow" w:eastAsia="仿宋_GB2312" w:cs="Arial Narrow"/>
                <w:kern w:val="0"/>
              </w:rPr>
              <w:t xml:space="preserve">  </w:t>
            </w:r>
            <w:r>
              <w:rPr>
                <w:rFonts w:hint="eastAsia" w:ascii="Arial Narrow" w:hAnsi="Arial Narrow" w:eastAsia="仿宋_GB2312" w:cs="Arial Narrow"/>
                <w:kern w:val="0"/>
              </w:rPr>
              <w:t xml:space="preserve">   </w:t>
            </w:r>
            <w:r>
              <w:rPr>
                <w:rFonts w:ascii="Arial Narrow" w:hAnsi="Arial Narrow" w:eastAsia="仿宋_GB2312" w:cs="Arial Narrow"/>
                <w:kern w:val="0"/>
              </w:rPr>
              <w:t>3、省对下转移支付项目</w:t>
            </w:r>
            <w:r>
              <w:rPr>
                <w:rFonts w:ascii="Arial Narrow" w:hAnsi="Arial Narrow" w:eastAsia="仿宋_GB2312" w:cs="Arial Narrow"/>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项目属性</w:t>
            </w:r>
          </w:p>
        </w:tc>
        <w:tc>
          <w:tcPr>
            <w:tcW w:w="7308" w:type="dxa"/>
            <w:gridSpan w:val="8"/>
            <w:vAlign w:val="center"/>
          </w:tcPr>
          <w:p>
            <w:pPr>
              <w:widowControl/>
              <w:snapToGrid w:val="0"/>
              <w:jc w:val="left"/>
              <w:rPr>
                <w:rFonts w:ascii="Arial Narrow" w:hAnsi="Arial Narrow" w:eastAsia="仿宋_GB2312" w:cs="Arial Narrow"/>
                <w:kern w:val="0"/>
              </w:rPr>
            </w:pPr>
            <w:r>
              <w:rPr>
                <w:rFonts w:ascii="Arial Narrow" w:hAnsi="Arial Narrow" w:eastAsia="仿宋_GB2312" w:cs="Arial Narrow"/>
                <w:kern w:val="0"/>
              </w:rPr>
              <w:t xml:space="preserve">1、持续性项目 </w:t>
            </w:r>
            <w:r>
              <w:rPr>
                <w:rFonts w:ascii="Arial Narrow" w:hAnsi="Arial Narrow" w:eastAsia="仿宋_GB2312" w:cs="Arial Narrow"/>
                <w:kern w:val="0"/>
              </w:rPr>
              <w:sym w:font="Wingdings 2" w:char="0052"/>
            </w:r>
            <w:r>
              <w:rPr>
                <w:rFonts w:ascii="Arial Narrow" w:hAnsi="Arial Narrow" w:eastAsia="仿宋_GB2312" w:cs="Arial Narrow"/>
                <w:kern w:val="0"/>
              </w:rPr>
              <w:t xml:space="preserve">   2、新增性项目</w:t>
            </w:r>
            <w:r>
              <w:rPr>
                <w:rFonts w:ascii="Arial Narrow" w:hAnsi="Arial Narrow" w:eastAsia="仿宋_GB2312" w:cs="Arial Narrow"/>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24" w:hRule="atLeast"/>
          <w:jc w:val="center"/>
        </w:trPr>
        <w:tc>
          <w:tcPr>
            <w:tcW w:w="164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项目类型</w:t>
            </w:r>
          </w:p>
        </w:tc>
        <w:tc>
          <w:tcPr>
            <w:tcW w:w="7308" w:type="dxa"/>
            <w:gridSpan w:val="8"/>
            <w:vAlign w:val="center"/>
          </w:tcPr>
          <w:p>
            <w:pPr>
              <w:widowControl/>
              <w:snapToGrid w:val="0"/>
              <w:jc w:val="left"/>
              <w:rPr>
                <w:rFonts w:ascii="Arial Narrow" w:hAnsi="Arial Narrow" w:eastAsia="仿宋_GB2312" w:cs="Arial Narrow"/>
                <w:kern w:val="0"/>
              </w:rPr>
            </w:pPr>
            <w:r>
              <w:rPr>
                <w:rFonts w:ascii="Arial Narrow" w:hAnsi="Arial Narrow" w:eastAsia="仿宋_GB2312" w:cs="Arial Narrow"/>
                <w:kern w:val="0"/>
              </w:rPr>
              <w:t xml:space="preserve">1、常年性项目 </w:t>
            </w:r>
            <w:r>
              <w:rPr>
                <w:rFonts w:ascii="Arial Narrow" w:hAnsi="Arial Narrow" w:eastAsia="仿宋_GB2312" w:cs="Arial Narrow"/>
                <w:kern w:val="0"/>
              </w:rPr>
              <w:sym w:font="Wingdings 2" w:char="0052"/>
            </w:r>
            <w:r>
              <w:rPr>
                <w:rFonts w:ascii="Arial Narrow" w:hAnsi="Arial Narrow" w:eastAsia="仿宋_GB2312" w:cs="Arial Narrow"/>
                <w:kern w:val="0"/>
              </w:rPr>
              <w:t xml:space="preserve">   2、延续性项目</w:t>
            </w:r>
            <w:r>
              <w:rPr>
                <w:rFonts w:ascii="Arial Narrow" w:hAnsi="Arial Narrow" w:eastAsia="仿宋_GB2312" w:cs="Arial Narrow"/>
                <w:kern w:val="0"/>
              </w:rPr>
              <w:sym w:font="Wingdings 2" w:char="00A3"/>
            </w:r>
            <w:r>
              <w:rPr>
                <w:rFonts w:hint="eastAsia" w:ascii="Arial Narrow" w:hAnsi="Arial Narrow" w:eastAsia="仿宋_GB2312" w:cs="Arial Narrow"/>
                <w:kern w:val="0"/>
              </w:rPr>
              <w:t xml:space="preserve">  </w:t>
            </w:r>
            <w:r>
              <w:rPr>
                <w:rFonts w:ascii="Arial Narrow" w:hAnsi="Arial Narrow" w:eastAsia="仿宋_GB2312" w:cs="Arial Narrow"/>
                <w:kern w:val="0"/>
              </w:rPr>
              <w:t xml:space="preserve"> 3、一次性项目</w:t>
            </w:r>
            <w:r>
              <w:rPr>
                <w:rFonts w:ascii="Arial Narrow" w:hAnsi="Arial Narrow" w:eastAsia="仿宋_GB2312" w:cs="Arial Narrow"/>
                <w:kern w:val="0"/>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restart"/>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预算执行情况（万元）</w:t>
            </w:r>
          </w:p>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（20分）</w:t>
            </w:r>
          </w:p>
        </w:tc>
        <w:tc>
          <w:tcPr>
            <w:tcW w:w="1170" w:type="dxa"/>
            <w:vAlign w:val="center"/>
          </w:tcPr>
          <w:p>
            <w:pPr>
              <w:widowControl/>
              <w:snapToGrid w:val="0"/>
              <w:jc w:val="center"/>
              <w:rPr>
                <w:rFonts w:ascii="Arial Narrow" w:hAnsi="Arial Narrow" w:eastAsia="仿宋_GB2312" w:cs="Arial Narrow"/>
                <w:kern w:val="0"/>
              </w:rPr>
            </w:pPr>
          </w:p>
        </w:tc>
        <w:tc>
          <w:tcPr>
            <w:tcW w:w="1339" w:type="dxa"/>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预算数（A）</w:t>
            </w:r>
          </w:p>
        </w:tc>
        <w:tc>
          <w:tcPr>
            <w:tcW w:w="1489"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执行数（B）</w:t>
            </w:r>
          </w:p>
        </w:tc>
        <w:tc>
          <w:tcPr>
            <w:tcW w:w="130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执行率（B/A）</w:t>
            </w:r>
          </w:p>
        </w:tc>
        <w:tc>
          <w:tcPr>
            <w:tcW w:w="201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得分</w:t>
            </w:r>
          </w:p>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（20分*执行率）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Merge w:val="continue"/>
            <w:tcBorders>
              <w:bottom w:val="single" w:color="000000" w:sz="4" w:space="0"/>
            </w:tcBorders>
            <w:vAlign w:val="center"/>
          </w:tcPr>
          <w:p>
            <w:pPr>
              <w:widowControl/>
              <w:snapToGrid w:val="0"/>
              <w:jc w:val="center"/>
              <w:rPr>
                <w:rFonts w:ascii="Arial Narrow" w:hAnsi="Arial Narrow" w:eastAsia="仿宋_GB2312" w:cs="Arial Narrow"/>
                <w:kern w:val="0"/>
              </w:rPr>
            </w:pPr>
          </w:p>
        </w:tc>
        <w:tc>
          <w:tcPr>
            <w:tcW w:w="1170" w:type="dxa"/>
            <w:tcBorders>
              <w:bottom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年度财政资金总额</w:t>
            </w:r>
          </w:p>
        </w:tc>
        <w:tc>
          <w:tcPr>
            <w:tcW w:w="1339" w:type="dxa"/>
            <w:tcBorders>
              <w:bottom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875.00</w:t>
            </w:r>
          </w:p>
        </w:tc>
        <w:tc>
          <w:tcPr>
            <w:tcW w:w="1489" w:type="dxa"/>
            <w:gridSpan w:val="2"/>
            <w:tcBorders>
              <w:bottom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795.73</w:t>
            </w:r>
          </w:p>
        </w:tc>
        <w:tc>
          <w:tcPr>
            <w:tcW w:w="1300" w:type="dxa"/>
            <w:gridSpan w:val="2"/>
            <w:tcBorders>
              <w:bottom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93.62%</w:t>
            </w:r>
          </w:p>
        </w:tc>
        <w:tc>
          <w:tcPr>
            <w:tcW w:w="2010" w:type="dxa"/>
            <w:gridSpan w:val="2"/>
            <w:tcBorders>
              <w:bottom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18.72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8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年度绩效目标（</w:t>
            </w:r>
            <w:r>
              <w:rPr>
                <w:rFonts w:hint="eastAsia" w:ascii="Arial Narrow" w:hAnsi="Arial Narrow" w:eastAsia="仿宋_GB2312" w:cs="Arial Narrow"/>
                <w:kern w:val="0"/>
                <w:lang w:bidi="ar"/>
              </w:rPr>
              <w:t>80</w:t>
            </w:r>
            <w:r>
              <w:rPr>
                <w:rFonts w:ascii="Arial Narrow" w:hAnsi="Arial Narrow" w:eastAsia="仿宋_GB2312" w:cs="Arial Narrow"/>
                <w:kern w:val="0"/>
                <w:lang w:bidi="ar"/>
              </w:rPr>
              <w:t>.00分）</w:t>
            </w:r>
          </w:p>
        </w:tc>
        <w:tc>
          <w:tcPr>
            <w:tcW w:w="75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Arial Narrow" w:hAnsi="Arial Narrow" w:eastAsia="仿宋_GB2312" w:cs="Arial Narrow"/>
                <w:kern w:val="0"/>
              </w:rPr>
            </w:pPr>
            <w:r>
              <w:rPr>
                <w:rFonts w:ascii="Arial Narrow" w:hAnsi="Arial Narrow" w:eastAsia="仿宋_GB2312" w:cs="Arial Narrow"/>
                <w:kern w:val="0"/>
              </w:rPr>
              <w:t>一级指标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二级指标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三级指标</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年初目标值（A）</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实际完成值（B）</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p>
        </w:tc>
        <w:tc>
          <w:tcPr>
            <w:tcW w:w="75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产出指标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十二届三次会议大会到会率（7分）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90%</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rPr>
            </w:pPr>
            <w:r>
              <w:rPr>
                <w:rFonts w:ascii="Arial Narrow" w:hAnsi="Arial Narrow" w:eastAsia="仿宋_GB2312" w:cs="Arial Narrow"/>
                <w:kern w:val="0"/>
                <w:lang w:bidi="ar"/>
              </w:rPr>
              <w:t>93.86%</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7</w:t>
            </w:r>
            <w:r>
              <w:rPr>
                <w:rFonts w:hint="eastAsia"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0"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委员提交提案立案率（8分）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rPr>
            </w:pPr>
            <w:r>
              <w:rPr>
                <w:rFonts w:ascii="Arial Narrow" w:hAnsi="Arial Narrow" w:eastAsia="仿宋_GB2312" w:cs="Arial Narrow"/>
                <w:kern w:val="0"/>
                <w:lang w:bidi="ar"/>
              </w:rPr>
              <w:t>80%</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rPr>
            </w:pPr>
            <w:r>
              <w:rPr>
                <w:rFonts w:ascii="Arial Narrow" w:hAnsi="Arial Narrow" w:eastAsia="仿宋_GB2312" w:cs="Arial Narrow"/>
                <w:kern w:val="0"/>
                <w:lang w:bidi="ar"/>
              </w:rPr>
              <w:t>96.56%</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协作研讨类会议次数（6分）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12</w:t>
            </w:r>
            <w:r>
              <w:rPr>
                <w:rStyle w:val="26"/>
                <w:color w:val="auto"/>
                <w:sz w:val="21"/>
                <w:szCs w:val="21"/>
                <w:lang w:bidi="ar"/>
              </w:rPr>
              <w:t>次</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12次</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lang w:bidi="ar"/>
              </w:rPr>
            </w:pPr>
            <w:r>
              <w:rPr>
                <w:rFonts w:ascii="Arial Narrow" w:hAnsi="Arial Narrow" w:eastAsia="仿宋_GB2312" w:cs="Arial Narrow"/>
                <w:kern w:val="0"/>
                <w:lang w:bidi="ar"/>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团结联谊类会议次数（6分）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w:t>
            </w:r>
            <w:r>
              <w:rPr>
                <w:rStyle w:val="26"/>
                <w:color w:val="auto"/>
                <w:sz w:val="21"/>
                <w:szCs w:val="21"/>
                <w:lang w:bidi="ar"/>
              </w:rPr>
              <w:t>次</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0次</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lang w:bidi="ar"/>
              </w:rPr>
            </w:pPr>
            <w:r>
              <w:rPr>
                <w:rFonts w:hint="eastAsia" w:ascii="Arial Narrow" w:hAnsi="Arial Narrow" w:eastAsia="仿宋_GB2312" w:cs="Arial Narrow"/>
                <w:kern w:val="0"/>
                <w:lang w:bidi="ar"/>
              </w:rPr>
              <w:t>0</w:t>
            </w:r>
            <w:r>
              <w:rPr>
                <w:rFonts w:ascii="Arial Narrow" w:hAnsi="Arial Narrow" w:eastAsia="仿宋_GB2312" w:cs="Arial Narrow"/>
                <w:kern w:val="0"/>
                <w:lang w:bidi="ar"/>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数量指标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协商议政类会议次数（6分）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15</w:t>
            </w:r>
            <w:r>
              <w:rPr>
                <w:rStyle w:val="25"/>
                <w:rFonts w:hint="eastAsia" w:ascii="宋体" w:hAnsi="宋体" w:eastAsia="宋体" w:cs="宋体"/>
                <w:color w:val="auto"/>
                <w:sz w:val="21"/>
                <w:szCs w:val="21"/>
                <w:lang w:bidi="ar"/>
              </w:rPr>
              <w:t>次</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15次</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lang w:bidi="ar"/>
              </w:rPr>
            </w:pPr>
            <w:r>
              <w:rPr>
                <w:rFonts w:hint="eastAsia" w:ascii="Arial Narrow" w:hAnsi="Arial Narrow" w:eastAsia="仿宋_GB2312" w:cs="Arial Narrow"/>
                <w:kern w:val="0"/>
                <w:lang w:bidi="ar"/>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75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hint="eastAsia" w:ascii="Arial Narrow" w:hAnsi="Arial Narrow" w:eastAsia="仿宋_GB2312" w:cs="Arial Narrow"/>
                <w:kern w:val="0"/>
                <w:lang w:bidi="ar"/>
              </w:rPr>
              <w:t>成本</w:t>
            </w:r>
            <w:r>
              <w:rPr>
                <w:rFonts w:ascii="Arial Narrow" w:hAnsi="Arial Narrow" w:eastAsia="仿宋_GB2312" w:cs="Arial Narrow"/>
                <w:kern w:val="0"/>
                <w:lang w:bidi="ar"/>
              </w:rPr>
              <w:t>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rPr>
            </w:pPr>
            <w:r>
              <w:rPr>
                <w:rFonts w:ascii="Arial Narrow" w:hAnsi="Arial Narrow" w:eastAsia="仿宋_GB2312" w:cs="Arial Narrow"/>
                <w:kern w:val="0"/>
                <w:lang w:bidi="ar"/>
              </w:rPr>
              <w:t>人均每天支出金额（7分）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rPr>
            </w:pPr>
            <w:r>
              <w:rPr>
                <w:rFonts w:ascii="Arial Narrow" w:hAnsi="Arial Narrow" w:eastAsia="仿宋_GB2312" w:cs="Arial Narrow"/>
                <w:kern w:val="0"/>
                <w:lang w:bidi="ar"/>
              </w:rPr>
              <w:t>按会议预算执行</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rPr>
            </w:pPr>
            <w:r>
              <w:rPr>
                <w:rFonts w:ascii="Arial Narrow" w:hAnsi="Arial Narrow" w:eastAsia="仿宋_GB2312" w:cs="Arial Narrow"/>
              </w:rPr>
              <w:t>按会议预算执行</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0" w:hRule="atLeast"/>
          <w:jc w:val="center"/>
        </w:trPr>
        <w:tc>
          <w:tcPr>
            <w:tcW w:w="888" w:type="dxa"/>
            <w:vMerge w:val="continue"/>
            <w:tcBorders>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p>
        </w:tc>
        <w:tc>
          <w:tcPr>
            <w:tcW w:w="752" w:type="dxa"/>
            <w:tcBorders>
              <w:top w:val="single" w:color="000000" w:sz="4" w:space="0"/>
              <w:left w:val="single" w:color="000000" w:sz="4" w:space="0"/>
              <w:bottom w:val="single" w:color="000000" w:sz="4" w:space="0"/>
              <w:right w:val="single" w:color="000000" w:sz="4" w:space="0"/>
            </w:tcBorders>
            <w:vAlign w:val="center"/>
          </w:tcPr>
          <w:p>
            <w:pPr>
              <w:jc w:val="center"/>
              <w:rPr>
                <w:rFonts w:ascii="Arial Narrow" w:hAnsi="Arial Narrow" w:eastAsia="仿宋_GB2312" w:cs="Arial Narrow"/>
                <w:kern w:val="0"/>
              </w:rPr>
            </w:pPr>
            <w:r>
              <w:rPr>
                <w:rFonts w:ascii="Arial Narrow" w:hAnsi="Arial Narrow" w:eastAsia="仿宋_GB2312" w:cs="Arial Narrow"/>
                <w:kern w:val="0"/>
              </w:rPr>
              <w:t>效益指标</w:t>
            </w:r>
          </w:p>
        </w:tc>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社会效益指标</w:t>
            </w:r>
          </w:p>
        </w:tc>
        <w:tc>
          <w:tcPr>
            <w:tcW w:w="282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ascii="Arial Narrow" w:hAnsi="Arial Narrow" w:eastAsia="仿宋_GB2312" w:cs="Arial Narrow"/>
                <w:kern w:val="0"/>
                <w:lang w:bidi="ar"/>
              </w:rPr>
              <w:t>发挥政协在国家治理中的作用</w:t>
            </w:r>
            <w:r>
              <w:rPr>
                <w:rFonts w:hint="eastAsia" w:ascii="Arial Narrow" w:hAnsi="Arial Narrow" w:eastAsia="仿宋_GB2312" w:cs="Arial Narrow"/>
                <w:kern w:val="0"/>
                <w:lang w:bidi="ar"/>
              </w:rPr>
              <w:t>（</w:t>
            </w:r>
            <w:r>
              <w:rPr>
                <w:rFonts w:ascii="Arial Narrow" w:hAnsi="Arial Narrow" w:eastAsia="仿宋_GB2312" w:cs="Arial Narrow"/>
                <w:kern w:val="0"/>
                <w:lang w:bidi="ar"/>
              </w:rPr>
              <w:t>40分）</w:t>
            </w:r>
          </w:p>
        </w:tc>
        <w:tc>
          <w:tcPr>
            <w:tcW w:w="1300"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Style w:val="25"/>
                <w:rFonts w:hint="eastAsia" w:ascii="宋体" w:hAnsi="宋体" w:eastAsia="宋体" w:cs="宋体"/>
                <w:color w:val="auto"/>
                <w:sz w:val="21"/>
                <w:szCs w:val="21"/>
                <w:lang w:bidi="ar"/>
              </w:rPr>
              <w:t>效果显著</w:t>
            </w:r>
          </w:p>
        </w:tc>
        <w:tc>
          <w:tcPr>
            <w:tcW w:w="12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Arial Narrow" w:hAnsi="Arial Narrow" w:eastAsia="仿宋_GB2312" w:cs="Arial Narrow"/>
                <w:kern w:val="0"/>
                <w:lang w:bidi="ar"/>
              </w:rPr>
            </w:pPr>
            <w:r>
              <w:rPr>
                <w:rFonts w:hint="eastAsia" w:ascii="Arial Narrow" w:hAnsi="Arial Narrow" w:eastAsia="仿宋_GB2312" w:cs="Arial Narrow"/>
                <w:kern w:val="0"/>
                <w:lang w:bidi="ar"/>
              </w:rPr>
              <w:t>效果显著</w:t>
            </w:r>
          </w:p>
        </w:tc>
        <w:tc>
          <w:tcPr>
            <w:tcW w:w="796" w:type="dxa"/>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rFonts w:ascii="Arial Narrow" w:hAnsi="Arial Narrow" w:eastAsia="仿宋_GB2312" w:cs="Arial Narrow"/>
                <w:kern w:val="0"/>
                <w:lang w:bidi="ar"/>
              </w:rPr>
            </w:pPr>
            <w:r>
              <w:rPr>
                <w:rFonts w:ascii="Arial Narrow" w:hAnsi="Arial Narrow" w:eastAsia="仿宋_GB2312" w:cs="Arial Narrow"/>
                <w:kern w:val="0"/>
                <w:lang w:bidi="ar"/>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640" w:type="dxa"/>
            <w:gridSpan w:val="2"/>
            <w:vAlign w:val="center"/>
          </w:tcPr>
          <w:p>
            <w:pPr>
              <w:widowControl/>
              <w:snapToGrid w:val="0"/>
              <w:jc w:val="center"/>
              <w:rPr>
                <w:rFonts w:ascii="Arial Narrow" w:hAnsi="Arial Narrow" w:eastAsia="仿宋_GB2312" w:cs="Arial Narrow"/>
                <w:kern w:val="0"/>
              </w:rPr>
            </w:pPr>
            <w:r>
              <w:rPr>
                <w:rFonts w:ascii="Arial Narrow" w:hAnsi="Arial Narrow" w:eastAsia="仿宋_GB2312" w:cs="Arial Narrow"/>
                <w:kern w:val="0"/>
              </w:rPr>
              <w:t>总分</w:t>
            </w:r>
          </w:p>
        </w:tc>
        <w:tc>
          <w:tcPr>
            <w:tcW w:w="7308" w:type="dxa"/>
            <w:gridSpan w:val="8"/>
            <w:vAlign w:val="center"/>
          </w:tcPr>
          <w:p>
            <w:pPr>
              <w:snapToGrid w:val="0"/>
              <w:jc w:val="center"/>
              <w:rPr>
                <w:rFonts w:ascii="Arial Narrow" w:hAnsi="Arial Narrow" w:eastAsia="仿宋_GB2312" w:cs="Arial Narrow"/>
                <w:kern w:val="0"/>
              </w:rPr>
            </w:pPr>
            <w:r>
              <w:rPr>
                <w:rFonts w:hint="eastAsia" w:ascii="Arial Narrow" w:hAnsi="Arial Narrow" w:eastAsia="仿宋_GB2312" w:cs="Arial Narrow"/>
                <w:kern w:val="0"/>
              </w:rPr>
              <w:t>92.72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0" w:hRule="atLeast"/>
          <w:jc w:val="center"/>
        </w:trPr>
        <w:tc>
          <w:tcPr>
            <w:tcW w:w="1640" w:type="dxa"/>
            <w:gridSpan w:val="2"/>
            <w:vAlign w:val="center"/>
          </w:tcPr>
          <w:p>
            <w:pPr>
              <w:widowControl/>
              <w:snapToGrid w:val="0"/>
              <w:spacing w:line="360" w:lineRule="exact"/>
              <w:jc w:val="center"/>
              <w:rPr>
                <w:rFonts w:ascii="Arial Narrow" w:hAnsi="Arial Narrow" w:eastAsia="仿宋_GB2312" w:cs="Arial Narrow"/>
                <w:kern w:val="0"/>
              </w:rPr>
            </w:pPr>
            <w:r>
              <w:rPr>
                <w:rFonts w:ascii="Arial Narrow" w:hAnsi="Arial Narrow" w:eastAsia="仿宋_GB2312" w:cs="Arial Narrow"/>
                <w:kern w:val="0"/>
              </w:rPr>
              <w:t>偏差大或目标未完成原因分析</w:t>
            </w:r>
          </w:p>
        </w:tc>
        <w:tc>
          <w:tcPr>
            <w:tcW w:w="7308" w:type="dxa"/>
            <w:gridSpan w:val="8"/>
            <w:vAlign w:val="center"/>
          </w:tcPr>
          <w:p>
            <w:pPr>
              <w:snapToGrid w:val="0"/>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1、年初计划开展团结联谊类会议1次，实际未开展。主要是因为综合考虑当前疫情防控工作的需要和年底全省的工作安排，今年暂停举办湖北省各界人士迎新年茶话会。</w:t>
            </w:r>
          </w:p>
          <w:p>
            <w:pPr>
              <w:snapToGrid w:val="0"/>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2、效益指标完成程度难以量化评价。“发挥政协在国家治理中的作用”指标目标值为定性描述，不便于对指标完成程度进行量化评价，也未说明预期的目标效果内容，评价方向不明确。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0" w:hRule="atLeast"/>
          <w:jc w:val="center"/>
        </w:trPr>
        <w:tc>
          <w:tcPr>
            <w:tcW w:w="1640" w:type="dxa"/>
            <w:gridSpan w:val="2"/>
            <w:vAlign w:val="center"/>
          </w:tcPr>
          <w:p>
            <w:pPr>
              <w:widowControl/>
              <w:snapToGrid w:val="0"/>
              <w:spacing w:line="360" w:lineRule="exact"/>
              <w:jc w:val="center"/>
              <w:rPr>
                <w:rFonts w:ascii="Arial Narrow" w:hAnsi="Arial Narrow" w:eastAsia="仿宋_GB2312" w:cs="Arial Narrow"/>
                <w:kern w:val="0"/>
              </w:rPr>
            </w:pPr>
            <w:r>
              <w:rPr>
                <w:rFonts w:ascii="Arial Narrow" w:hAnsi="Arial Narrow" w:eastAsia="仿宋_GB2312" w:cs="Arial Narrow"/>
                <w:kern w:val="0"/>
              </w:rPr>
              <w:t>改进措施及</w:t>
            </w:r>
          </w:p>
          <w:p>
            <w:pPr>
              <w:widowControl/>
              <w:snapToGrid w:val="0"/>
              <w:spacing w:line="360" w:lineRule="exact"/>
              <w:jc w:val="center"/>
              <w:rPr>
                <w:rFonts w:ascii="Arial Narrow" w:hAnsi="Arial Narrow" w:eastAsia="仿宋_GB2312" w:cs="Arial Narrow"/>
                <w:kern w:val="0"/>
              </w:rPr>
            </w:pPr>
            <w:r>
              <w:rPr>
                <w:rFonts w:ascii="Arial Narrow" w:hAnsi="Arial Narrow" w:eastAsia="仿宋_GB2312" w:cs="Arial Narrow"/>
                <w:kern w:val="0"/>
              </w:rPr>
              <w:t>结果应用方案</w:t>
            </w:r>
          </w:p>
        </w:tc>
        <w:tc>
          <w:tcPr>
            <w:tcW w:w="7308" w:type="dxa"/>
            <w:gridSpan w:val="8"/>
            <w:vAlign w:val="center"/>
          </w:tcPr>
          <w:p>
            <w:pPr>
              <w:snapToGrid w:val="0"/>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1.项目完善及绩效目标调整。</w:t>
            </w:r>
          </w:p>
          <w:p>
            <w:pPr>
              <w:snapToGrid w:val="0"/>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1）项目完善：按计划开展各类专项会议，牢牢把握新时代人民政协的新方位新使命，坚持建言资政和凝聚共识双向发力，全面推动政协工作提质增效，提高政治协商、民主监督、参政议政水平，不断完善制度机制，更好地把人民政协制度优势转化为国家治理效能。</w:t>
            </w:r>
          </w:p>
          <w:p>
            <w:pPr>
              <w:snapToGrid w:val="0"/>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绩效目标调整：根据项目资金支出方向和实际实施内容，设置可量化的效益指标，将“发挥政协在国家治理中的作用”指标修改为“建言资政、凝聚共识履职程度”指标，便于对项目实施效益完成程度进行量化评价，并明确评价方向。</w:t>
            </w:r>
          </w:p>
          <w:p>
            <w:pPr>
              <w:snapToGrid w:val="0"/>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2.拟与预算安排相结合情况。</w:t>
            </w:r>
          </w:p>
          <w:p>
            <w:pPr>
              <w:snapToGrid w:val="0"/>
              <w:spacing w:line="360" w:lineRule="exact"/>
              <w:ind w:firstLine="420" w:firstLineChars="200"/>
              <w:jc w:val="left"/>
              <w:rPr>
                <w:rFonts w:ascii="Arial Narrow" w:hAnsi="Arial Narrow" w:eastAsia="仿宋_GB2312" w:cs="Arial Narrow"/>
                <w:kern w:val="0"/>
              </w:rPr>
            </w:pPr>
            <w:r>
              <w:rPr>
                <w:rFonts w:hint="eastAsia" w:ascii="Arial Narrow" w:hAnsi="Arial Narrow" w:eastAsia="仿宋_GB2312" w:cs="Arial Narrow"/>
                <w:kern w:val="0"/>
              </w:rPr>
              <w:t>落实绩效评价结果与预算安排相结合制度，一是根据预算执行情况适当调整项目额度，实行资金安排与绩效评价结果挂钩机制，同时根据绩效自评结果，确定下一年度预算执行情况及指标完成情况的跟踪监控方向；二是将“发挥政协在国家治理中的作用”指标修改为“建言资政、凝聚共识履职程度”指标，指标目标值为100%。</w:t>
            </w:r>
          </w:p>
        </w:tc>
      </w:tr>
    </w:tbl>
    <w:p>
      <w:pPr>
        <w:widowControl/>
        <w:outlineLvl w:val="0"/>
        <w:rPr>
          <w:rFonts w:ascii="Arial Narrow" w:hAnsi="Arial Narrow" w:eastAsia="仿宋_GB2312" w:cs="Times New Roman"/>
          <w:kern w:val="0"/>
        </w:rPr>
      </w:pPr>
      <w:r>
        <w:rPr>
          <w:rFonts w:ascii="Arial Narrow" w:hAnsi="Arial Narrow" w:eastAsia="仿宋_GB2312" w:cs="仿宋_GB2312"/>
          <w:kern w:val="0"/>
        </w:rPr>
        <w:t>备注：</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1.预算执行情况口径：预算数为调整后财政资金总额（包括上年结余结转），执行数为资金使用单位财政资金实际支出数。</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2.定量指标完成数汇总原则：绝对值直接累加计算，相对值按照资金额度加权平均计算。定量指标计分原则：正向指标（即目标值为≥X,得分=权重*B/A），反向指标（即目标值为≤X，得分=权重*A/B），得分不得突破权重总额。定量指标先汇总完成数，再计算得分。</w:t>
      </w:r>
    </w:p>
    <w:p>
      <w:pPr>
        <w:widowControl/>
        <w:ind w:firstLine="420" w:firstLineChars="200"/>
        <w:rPr>
          <w:rFonts w:ascii="Arial Narrow" w:hAnsi="Arial Narrow" w:eastAsia="仿宋_GB2312" w:cs="Times New Roman"/>
          <w:kern w:val="0"/>
        </w:rPr>
      </w:pPr>
      <w:r>
        <w:rPr>
          <w:rFonts w:ascii="Arial Narrow" w:hAnsi="Arial Narrow" w:eastAsia="仿宋_GB2312" w:cs="仿宋_GB2312"/>
          <w:kern w:val="0"/>
        </w:rPr>
        <w:t>3.定性指标计分原则：达成预期指标、部分达成预期指标并具有一定效果、未达成预期指标且效果较差三档，分别按照该指标对应分值区间100-80%（含80%）、80-50%（含50%）、50-0%合理确定分值。汇总时，以资金额度为权重，对分值进行加权平均计算。</w:t>
      </w:r>
    </w:p>
    <w:p>
      <w:pPr>
        <w:widowControl/>
        <w:ind w:firstLine="420" w:firstLineChars="200"/>
        <w:rPr>
          <w:rFonts w:ascii="Arial Narrow" w:hAnsi="Arial Narrow" w:eastAsia="仿宋_GB2312" w:cs="Times New Roman"/>
          <w:sz w:val="32"/>
          <w:szCs w:val="32"/>
        </w:rPr>
      </w:pPr>
      <w:r>
        <w:rPr>
          <w:rFonts w:ascii="Arial Narrow" w:hAnsi="Arial Narrow" w:eastAsia="仿宋_GB2312" w:cs="仿宋_GB2312"/>
          <w:kern w:val="0"/>
        </w:rPr>
        <w:t>4.基于经济性和必要性等因素考虑，满意度指标暂可不作为必评指标。</w:t>
      </w:r>
    </w:p>
    <w:p/>
    <w:p/>
    <w:p>
      <w:pPr>
        <w:rPr>
          <w:rFonts w:hint="eastAsia"/>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Arial Narrow">
    <w:altName w:val="DejaVu Sans"/>
    <w:panose1 w:val="020B0606020202030204"/>
    <w:charset w:val="00"/>
    <w:family w:val="swiss"/>
    <w:pitch w:val="default"/>
    <w:sig w:usb0="00000000" w:usb1="00000000" w:usb2="00000000" w:usb3="00000000" w:csb0="0000009F" w:csb1="00000000"/>
  </w:font>
  <w:font w:name="黑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Wingdings">
    <w:panose1 w:val="05000000000000000000"/>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Content>
      <w:p>
        <w:pPr>
          <w:pStyle w:val="6"/>
          <w:jc w:val="center"/>
        </w:pPr>
        <w:r>
          <w:fldChar w:fldCharType="begin"/>
        </w:r>
        <w:r>
          <w:instrText xml:space="preserve">PAGE   \* MERGEFORMAT</w:instrText>
        </w:r>
        <w:r>
          <w:fldChar w:fldCharType="separate"/>
        </w:r>
        <w:r>
          <w:rPr>
            <w:lang w:val="zh-CN"/>
          </w:rPr>
          <w:t>27</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177A"/>
    <w:rsid w:val="00023B54"/>
    <w:rsid w:val="00053E79"/>
    <w:rsid w:val="00063B80"/>
    <w:rsid w:val="00070873"/>
    <w:rsid w:val="00070CF8"/>
    <w:rsid w:val="00077FBC"/>
    <w:rsid w:val="00092D78"/>
    <w:rsid w:val="00094262"/>
    <w:rsid w:val="000B4BA9"/>
    <w:rsid w:val="000C53E7"/>
    <w:rsid w:val="000C6D42"/>
    <w:rsid w:val="000D25F8"/>
    <w:rsid w:val="000D360D"/>
    <w:rsid w:val="000D618D"/>
    <w:rsid w:val="000E58F2"/>
    <w:rsid w:val="000E6863"/>
    <w:rsid w:val="000F779B"/>
    <w:rsid w:val="00100262"/>
    <w:rsid w:val="00126F8C"/>
    <w:rsid w:val="00140301"/>
    <w:rsid w:val="00144044"/>
    <w:rsid w:val="00144F5C"/>
    <w:rsid w:val="00157AB0"/>
    <w:rsid w:val="001604B7"/>
    <w:rsid w:val="0016664B"/>
    <w:rsid w:val="00172A27"/>
    <w:rsid w:val="00184CD1"/>
    <w:rsid w:val="0018760E"/>
    <w:rsid w:val="0019362A"/>
    <w:rsid w:val="00194B53"/>
    <w:rsid w:val="001A1865"/>
    <w:rsid w:val="001B6134"/>
    <w:rsid w:val="001B6DC9"/>
    <w:rsid w:val="001C779F"/>
    <w:rsid w:val="001D57B6"/>
    <w:rsid w:val="001F4EFB"/>
    <w:rsid w:val="002004BD"/>
    <w:rsid w:val="00205700"/>
    <w:rsid w:val="00232A49"/>
    <w:rsid w:val="00233D8B"/>
    <w:rsid w:val="00235852"/>
    <w:rsid w:val="00243CE4"/>
    <w:rsid w:val="00245F14"/>
    <w:rsid w:val="002621AB"/>
    <w:rsid w:val="00263356"/>
    <w:rsid w:val="00274019"/>
    <w:rsid w:val="002905B7"/>
    <w:rsid w:val="002B603A"/>
    <w:rsid w:val="002C150C"/>
    <w:rsid w:val="002F4EB7"/>
    <w:rsid w:val="002F7F5D"/>
    <w:rsid w:val="003017CA"/>
    <w:rsid w:val="003317B3"/>
    <w:rsid w:val="00332AEE"/>
    <w:rsid w:val="003407E5"/>
    <w:rsid w:val="00347A16"/>
    <w:rsid w:val="003530F1"/>
    <w:rsid w:val="00367E49"/>
    <w:rsid w:val="00371571"/>
    <w:rsid w:val="00380E8D"/>
    <w:rsid w:val="00386864"/>
    <w:rsid w:val="003975BF"/>
    <w:rsid w:val="003B7C44"/>
    <w:rsid w:val="003C25B9"/>
    <w:rsid w:val="003D0658"/>
    <w:rsid w:val="003D5FDE"/>
    <w:rsid w:val="003F1139"/>
    <w:rsid w:val="00400536"/>
    <w:rsid w:val="0040378E"/>
    <w:rsid w:val="00416205"/>
    <w:rsid w:val="004250D4"/>
    <w:rsid w:val="00444164"/>
    <w:rsid w:val="0045123B"/>
    <w:rsid w:val="00476260"/>
    <w:rsid w:val="00476C7A"/>
    <w:rsid w:val="00493DD5"/>
    <w:rsid w:val="004A7F46"/>
    <w:rsid w:val="004B1473"/>
    <w:rsid w:val="004B254A"/>
    <w:rsid w:val="004D17CF"/>
    <w:rsid w:val="004E1B3D"/>
    <w:rsid w:val="004F2E3C"/>
    <w:rsid w:val="00511003"/>
    <w:rsid w:val="00512DE3"/>
    <w:rsid w:val="00527ED2"/>
    <w:rsid w:val="00542B86"/>
    <w:rsid w:val="0054576B"/>
    <w:rsid w:val="00553708"/>
    <w:rsid w:val="00553ED9"/>
    <w:rsid w:val="005861D2"/>
    <w:rsid w:val="00590F14"/>
    <w:rsid w:val="00591C77"/>
    <w:rsid w:val="005B298D"/>
    <w:rsid w:val="005D7B50"/>
    <w:rsid w:val="0061473F"/>
    <w:rsid w:val="00615248"/>
    <w:rsid w:val="00623021"/>
    <w:rsid w:val="006239AC"/>
    <w:rsid w:val="00624CCA"/>
    <w:rsid w:val="0063120A"/>
    <w:rsid w:val="00643212"/>
    <w:rsid w:val="00664023"/>
    <w:rsid w:val="006710E4"/>
    <w:rsid w:val="0067229F"/>
    <w:rsid w:val="006722BC"/>
    <w:rsid w:val="00675573"/>
    <w:rsid w:val="006A2558"/>
    <w:rsid w:val="006A703E"/>
    <w:rsid w:val="006C49F8"/>
    <w:rsid w:val="006E4A63"/>
    <w:rsid w:val="006F39CB"/>
    <w:rsid w:val="00715F40"/>
    <w:rsid w:val="00720F22"/>
    <w:rsid w:val="00767D4A"/>
    <w:rsid w:val="00783516"/>
    <w:rsid w:val="007B38C5"/>
    <w:rsid w:val="007C2089"/>
    <w:rsid w:val="007C420B"/>
    <w:rsid w:val="007D1EE2"/>
    <w:rsid w:val="007D6F6F"/>
    <w:rsid w:val="007E1EAF"/>
    <w:rsid w:val="007E4779"/>
    <w:rsid w:val="007E7563"/>
    <w:rsid w:val="007F151F"/>
    <w:rsid w:val="007F6E22"/>
    <w:rsid w:val="007F739C"/>
    <w:rsid w:val="00812697"/>
    <w:rsid w:val="00816A7E"/>
    <w:rsid w:val="00823DFC"/>
    <w:rsid w:val="0082591C"/>
    <w:rsid w:val="0083237F"/>
    <w:rsid w:val="00834A7F"/>
    <w:rsid w:val="00836238"/>
    <w:rsid w:val="008429D0"/>
    <w:rsid w:val="00842F50"/>
    <w:rsid w:val="00857AAF"/>
    <w:rsid w:val="00870E4B"/>
    <w:rsid w:val="008A45DC"/>
    <w:rsid w:val="008B3121"/>
    <w:rsid w:val="008C3A45"/>
    <w:rsid w:val="008E17B3"/>
    <w:rsid w:val="008E4B49"/>
    <w:rsid w:val="008F0163"/>
    <w:rsid w:val="00902076"/>
    <w:rsid w:val="00905FD2"/>
    <w:rsid w:val="00911063"/>
    <w:rsid w:val="00911175"/>
    <w:rsid w:val="00911AFC"/>
    <w:rsid w:val="00926034"/>
    <w:rsid w:val="00937177"/>
    <w:rsid w:val="009813B4"/>
    <w:rsid w:val="00984765"/>
    <w:rsid w:val="009902AD"/>
    <w:rsid w:val="009977F2"/>
    <w:rsid w:val="009A24D4"/>
    <w:rsid w:val="009A2AEE"/>
    <w:rsid w:val="009A31C6"/>
    <w:rsid w:val="009B0793"/>
    <w:rsid w:val="009C2F45"/>
    <w:rsid w:val="009C4915"/>
    <w:rsid w:val="009D5452"/>
    <w:rsid w:val="009F408E"/>
    <w:rsid w:val="00A1347D"/>
    <w:rsid w:val="00A14013"/>
    <w:rsid w:val="00A22569"/>
    <w:rsid w:val="00A2353B"/>
    <w:rsid w:val="00A27CEC"/>
    <w:rsid w:val="00A629EF"/>
    <w:rsid w:val="00A737D5"/>
    <w:rsid w:val="00A82560"/>
    <w:rsid w:val="00A84DBB"/>
    <w:rsid w:val="00A8638B"/>
    <w:rsid w:val="00A962BF"/>
    <w:rsid w:val="00A96BE1"/>
    <w:rsid w:val="00AB0911"/>
    <w:rsid w:val="00AB2726"/>
    <w:rsid w:val="00AB596E"/>
    <w:rsid w:val="00AC024B"/>
    <w:rsid w:val="00AD5311"/>
    <w:rsid w:val="00AF42D4"/>
    <w:rsid w:val="00AF7F15"/>
    <w:rsid w:val="00B056AC"/>
    <w:rsid w:val="00B07AF3"/>
    <w:rsid w:val="00B1308B"/>
    <w:rsid w:val="00B15BC5"/>
    <w:rsid w:val="00B21A7B"/>
    <w:rsid w:val="00B22F73"/>
    <w:rsid w:val="00B41798"/>
    <w:rsid w:val="00B42978"/>
    <w:rsid w:val="00B6400F"/>
    <w:rsid w:val="00B67940"/>
    <w:rsid w:val="00B70B19"/>
    <w:rsid w:val="00B8298D"/>
    <w:rsid w:val="00B94428"/>
    <w:rsid w:val="00BB11C5"/>
    <w:rsid w:val="00BD025B"/>
    <w:rsid w:val="00BD4011"/>
    <w:rsid w:val="00BF6237"/>
    <w:rsid w:val="00C01034"/>
    <w:rsid w:val="00C02F78"/>
    <w:rsid w:val="00C10C3F"/>
    <w:rsid w:val="00C10F2A"/>
    <w:rsid w:val="00C16804"/>
    <w:rsid w:val="00C27AB3"/>
    <w:rsid w:val="00C30C52"/>
    <w:rsid w:val="00C377F4"/>
    <w:rsid w:val="00C72041"/>
    <w:rsid w:val="00C77E6F"/>
    <w:rsid w:val="00C81E56"/>
    <w:rsid w:val="00C93226"/>
    <w:rsid w:val="00C9587F"/>
    <w:rsid w:val="00CA423A"/>
    <w:rsid w:val="00CA4FE3"/>
    <w:rsid w:val="00CC3DD1"/>
    <w:rsid w:val="00CE3818"/>
    <w:rsid w:val="00CF0F41"/>
    <w:rsid w:val="00D04683"/>
    <w:rsid w:val="00D21F64"/>
    <w:rsid w:val="00D23587"/>
    <w:rsid w:val="00D25DDE"/>
    <w:rsid w:val="00D347FD"/>
    <w:rsid w:val="00D65195"/>
    <w:rsid w:val="00D671FF"/>
    <w:rsid w:val="00D77E20"/>
    <w:rsid w:val="00D84C33"/>
    <w:rsid w:val="00DA4D8E"/>
    <w:rsid w:val="00DD6B94"/>
    <w:rsid w:val="00DF6821"/>
    <w:rsid w:val="00E07D90"/>
    <w:rsid w:val="00E119BA"/>
    <w:rsid w:val="00E23B12"/>
    <w:rsid w:val="00E24AC9"/>
    <w:rsid w:val="00E3087C"/>
    <w:rsid w:val="00E43FE1"/>
    <w:rsid w:val="00E47E0A"/>
    <w:rsid w:val="00E50AEC"/>
    <w:rsid w:val="00E54736"/>
    <w:rsid w:val="00E71595"/>
    <w:rsid w:val="00E93426"/>
    <w:rsid w:val="00EB2FA7"/>
    <w:rsid w:val="00EC1413"/>
    <w:rsid w:val="00EF2BC2"/>
    <w:rsid w:val="00EF4831"/>
    <w:rsid w:val="00F05580"/>
    <w:rsid w:val="00F07DAE"/>
    <w:rsid w:val="00F13B01"/>
    <w:rsid w:val="00F32D82"/>
    <w:rsid w:val="00F8196E"/>
    <w:rsid w:val="00F91BFC"/>
    <w:rsid w:val="00FA38E9"/>
    <w:rsid w:val="00FB7CD8"/>
    <w:rsid w:val="00FC1044"/>
    <w:rsid w:val="00FC2EF3"/>
    <w:rsid w:val="00FD0936"/>
    <w:rsid w:val="00FD7BB1"/>
    <w:rsid w:val="00FE1E9C"/>
    <w:rsid w:val="00FE3638"/>
    <w:rsid w:val="00FF69D0"/>
    <w:rsid w:val="033966DA"/>
    <w:rsid w:val="040B5534"/>
    <w:rsid w:val="071615F3"/>
    <w:rsid w:val="0DF970B3"/>
    <w:rsid w:val="0FBB6B41"/>
    <w:rsid w:val="12770E1D"/>
    <w:rsid w:val="17E35F6E"/>
    <w:rsid w:val="19EE4F74"/>
    <w:rsid w:val="1F305A5B"/>
    <w:rsid w:val="20572C09"/>
    <w:rsid w:val="206C47F8"/>
    <w:rsid w:val="234E0D00"/>
    <w:rsid w:val="26A5009B"/>
    <w:rsid w:val="2D0378C5"/>
    <w:rsid w:val="2E7275DA"/>
    <w:rsid w:val="2FF30FCB"/>
    <w:rsid w:val="31B87ED9"/>
    <w:rsid w:val="36F71723"/>
    <w:rsid w:val="42741259"/>
    <w:rsid w:val="45222789"/>
    <w:rsid w:val="46655FBF"/>
    <w:rsid w:val="4A613E40"/>
    <w:rsid w:val="4E437B18"/>
    <w:rsid w:val="4F277C90"/>
    <w:rsid w:val="51D4326B"/>
    <w:rsid w:val="5B2E203B"/>
    <w:rsid w:val="5FE43063"/>
    <w:rsid w:val="609B00F0"/>
    <w:rsid w:val="60BC1119"/>
    <w:rsid w:val="66083D3C"/>
    <w:rsid w:val="66E24D74"/>
    <w:rsid w:val="6A750ABB"/>
    <w:rsid w:val="6AEB52A7"/>
    <w:rsid w:val="702C45E9"/>
    <w:rsid w:val="73624575"/>
    <w:rsid w:val="75FD183B"/>
    <w:rsid w:val="778F4307"/>
    <w:rsid w:val="7A6A5006"/>
    <w:rsid w:val="7AFD090A"/>
    <w:rsid w:val="7DF722F4"/>
    <w:rsid w:val="7E3114C6"/>
    <w:rsid w:val="7F6D3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等线"/>
      <w:kern w:val="2"/>
      <w:sz w:val="21"/>
      <w:szCs w:val="21"/>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character" w:default="1" w:styleId="8">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16"/>
    <w:qFormat/>
    <w:uiPriority w:val="0"/>
    <w:rPr>
      <w:b/>
      <w:bCs/>
    </w:rPr>
  </w:style>
  <w:style w:type="paragraph" w:styleId="4">
    <w:name w:val="annotation text"/>
    <w:basedOn w:val="1"/>
    <w:link w:val="15"/>
    <w:qFormat/>
    <w:uiPriority w:val="0"/>
    <w:pPr>
      <w:jc w:val="left"/>
    </w:pPr>
  </w:style>
  <w:style w:type="paragraph" w:styleId="5">
    <w:name w:val="Balloon Text"/>
    <w:basedOn w:val="1"/>
    <w:link w:val="17"/>
    <w:qFormat/>
    <w:uiPriority w:val="0"/>
    <w:rPr>
      <w:sz w:val="18"/>
      <w:szCs w:val="18"/>
    </w:rPr>
  </w:style>
  <w:style w:type="paragraph" w:styleId="6">
    <w:name w:val="footer"/>
    <w:basedOn w:val="1"/>
    <w:link w:val="13"/>
    <w:qFormat/>
    <w:uiPriority w:val="99"/>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qFormat/>
    <w:uiPriority w:val="0"/>
    <w:rPr>
      <w:sz w:val="21"/>
      <w:szCs w:val="21"/>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页眉 字符"/>
    <w:basedOn w:val="8"/>
    <w:link w:val="7"/>
    <w:qFormat/>
    <w:uiPriority w:val="0"/>
    <w:rPr>
      <w:rFonts w:ascii="等线" w:hAnsi="等线" w:eastAsia="等线" w:cs="等线"/>
      <w:kern w:val="2"/>
      <w:sz w:val="18"/>
      <w:szCs w:val="18"/>
    </w:rPr>
  </w:style>
  <w:style w:type="character" w:customStyle="1" w:styleId="13">
    <w:name w:val="页脚 字符"/>
    <w:basedOn w:val="8"/>
    <w:link w:val="6"/>
    <w:qFormat/>
    <w:uiPriority w:val="99"/>
    <w:rPr>
      <w:rFonts w:ascii="等线" w:hAnsi="等线" w:eastAsia="等线" w:cs="等线"/>
      <w:kern w:val="2"/>
      <w:sz w:val="18"/>
      <w:szCs w:val="18"/>
    </w:rPr>
  </w:style>
  <w:style w:type="paragraph" w:customStyle="1" w:styleId="14">
    <w:name w:val="List Paragraph"/>
    <w:basedOn w:val="1"/>
    <w:unhideWhenUsed/>
    <w:qFormat/>
    <w:uiPriority w:val="99"/>
    <w:pPr>
      <w:ind w:firstLine="420" w:firstLineChars="200"/>
    </w:pPr>
  </w:style>
  <w:style w:type="character" w:customStyle="1" w:styleId="15">
    <w:name w:val="批注文字 字符"/>
    <w:basedOn w:val="8"/>
    <w:link w:val="4"/>
    <w:qFormat/>
    <w:uiPriority w:val="0"/>
    <w:rPr>
      <w:rFonts w:ascii="等线" w:hAnsi="等线" w:eastAsia="等线" w:cs="等线"/>
      <w:kern w:val="2"/>
      <w:sz w:val="21"/>
      <w:szCs w:val="21"/>
    </w:rPr>
  </w:style>
  <w:style w:type="character" w:customStyle="1" w:styleId="16">
    <w:name w:val="批注主题 字符"/>
    <w:basedOn w:val="15"/>
    <w:link w:val="3"/>
    <w:qFormat/>
    <w:uiPriority w:val="0"/>
    <w:rPr>
      <w:rFonts w:ascii="等线" w:hAnsi="等线" w:eastAsia="等线" w:cs="等线"/>
      <w:b/>
      <w:bCs/>
      <w:kern w:val="2"/>
      <w:sz w:val="21"/>
      <w:szCs w:val="21"/>
    </w:rPr>
  </w:style>
  <w:style w:type="character" w:customStyle="1" w:styleId="17">
    <w:name w:val="批注框文本 字符"/>
    <w:basedOn w:val="8"/>
    <w:link w:val="5"/>
    <w:qFormat/>
    <w:uiPriority w:val="0"/>
    <w:rPr>
      <w:rFonts w:ascii="等线" w:hAnsi="等线" w:eastAsia="等线" w:cs="等线"/>
      <w:kern w:val="2"/>
      <w:sz w:val="18"/>
      <w:szCs w:val="18"/>
    </w:rPr>
  </w:style>
  <w:style w:type="character" w:customStyle="1" w:styleId="18">
    <w:name w:val="font61"/>
    <w:basedOn w:val="8"/>
    <w:qFormat/>
    <w:uiPriority w:val="0"/>
    <w:rPr>
      <w:rFonts w:ascii="仿宋_GB2312" w:eastAsia="仿宋_GB2312" w:cs="仿宋_GB2312"/>
      <w:color w:val="000000"/>
      <w:sz w:val="24"/>
      <w:szCs w:val="24"/>
      <w:u w:val="none"/>
    </w:rPr>
  </w:style>
  <w:style w:type="character" w:customStyle="1" w:styleId="19">
    <w:name w:val="font51"/>
    <w:basedOn w:val="8"/>
    <w:qFormat/>
    <w:uiPriority w:val="0"/>
    <w:rPr>
      <w:rFonts w:hint="default" w:ascii="Arial Narrow" w:hAnsi="Arial Narrow" w:eastAsia="Arial Narrow" w:cs="Arial Narrow"/>
      <w:color w:val="000000"/>
      <w:sz w:val="24"/>
      <w:szCs w:val="24"/>
      <w:u w:val="none"/>
    </w:rPr>
  </w:style>
  <w:style w:type="character" w:customStyle="1" w:styleId="20">
    <w:name w:val="font21"/>
    <w:basedOn w:val="8"/>
    <w:qFormat/>
    <w:uiPriority w:val="0"/>
    <w:rPr>
      <w:rFonts w:hint="eastAsia" w:ascii="宋体" w:hAnsi="宋体" w:eastAsia="宋体" w:cs="宋体"/>
      <w:color w:val="000000"/>
      <w:sz w:val="24"/>
      <w:szCs w:val="24"/>
      <w:u w:val="none"/>
    </w:rPr>
  </w:style>
  <w:style w:type="character" w:customStyle="1" w:styleId="21">
    <w:name w:val="font81"/>
    <w:basedOn w:val="8"/>
    <w:qFormat/>
    <w:uiPriority w:val="0"/>
    <w:rPr>
      <w:rFonts w:hint="default" w:ascii="Arial Narrow" w:hAnsi="Arial Narrow" w:eastAsia="Arial Narrow" w:cs="Arial Narrow"/>
      <w:color w:val="000000"/>
      <w:sz w:val="24"/>
      <w:szCs w:val="24"/>
      <w:u w:val="none"/>
    </w:rPr>
  </w:style>
  <w:style w:type="character" w:customStyle="1" w:styleId="22">
    <w:name w:val="font11"/>
    <w:basedOn w:val="8"/>
    <w:qFormat/>
    <w:uiPriority w:val="0"/>
    <w:rPr>
      <w:rFonts w:hint="eastAsia" w:ascii="宋体" w:hAnsi="宋体" w:eastAsia="宋体" w:cs="宋体"/>
      <w:color w:val="000000"/>
      <w:sz w:val="24"/>
      <w:szCs w:val="24"/>
      <w:u w:val="none"/>
    </w:rPr>
  </w:style>
  <w:style w:type="character" w:customStyle="1" w:styleId="23">
    <w:name w:val="font91"/>
    <w:basedOn w:val="8"/>
    <w:qFormat/>
    <w:uiPriority w:val="0"/>
    <w:rPr>
      <w:rFonts w:hint="default" w:ascii="Arial Narrow" w:hAnsi="Arial Narrow" w:eastAsia="Arial Narrow" w:cs="Arial Narrow"/>
      <w:color w:val="000000"/>
      <w:sz w:val="24"/>
      <w:szCs w:val="24"/>
      <w:u w:val="none"/>
    </w:rPr>
  </w:style>
  <w:style w:type="character" w:customStyle="1" w:styleId="24">
    <w:name w:val="font101"/>
    <w:basedOn w:val="8"/>
    <w:qFormat/>
    <w:uiPriority w:val="0"/>
    <w:rPr>
      <w:rFonts w:ascii="Arial Narrow" w:hAnsi="Arial Narrow" w:eastAsia="Arial Narrow" w:cs="Arial Narrow"/>
      <w:color w:val="000000"/>
      <w:sz w:val="24"/>
      <w:szCs w:val="24"/>
      <w:u w:val="none"/>
    </w:rPr>
  </w:style>
  <w:style w:type="character" w:customStyle="1" w:styleId="25">
    <w:name w:val="font31"/>
    <w:basedOn w:val="8"/>
    <w:qFormat/>
    <w:uiPriority w:val="0"/>
    <w:rPr>
      <w:rFonts w:hint="default" w:ascii="Arial Narrow" w:hAnsi="Arial Narrow" w:eastAsia="Arial Narrow" w:cs="Arial Narrow"/>
      <w:color w:val="000000"/>
      <w:sz w:val="24"/>
      <w:szCs w:val="24"/>
      <w:u w:val="none"/>
    </w:rPr>
  </w:style>
  <w:style w:type="character" w:customStyle="1" w:styleId="26">
    <w:name w:val="font41"/>
    <w:basedOn w:val="8"/>
    <w:qFormat/>
    <w:uiPriority w:val="0"/>
    <w:rPr>
      <w:rFonts w:hint="default" w:ascii="仿宋_GB2312" w:eastAsia="仿宋_GB2312" w:cs="仿宋_GB2312"/>
      <w:color w:val="000000"/>
      <w:sz w:val="24"/>
      <w:szCs w:val="24"/>
      <w:u w:val="none"/>
    </w:rPr>
  </w:style>
  <w:style w:type="character" w:customStyle="1" w:styleId="27">
    <w:name w:val="font71"/>
    <w:basedOn w:val="8"/>
    <w:qFormat/>
    <w:uiPriority w:val="0"/>
    <w:rPr>
      <w:rFonts w:hint="default" w:ascii="仿宋_GB2312" w:eastAsia="仿宋_GB2312" w:cs="仿宋_GB2312"/>
      <w:color w:val="000000"/>
      <w:sz w:val="24"/>
      <w:szCs w:val="24"/>
      <w:u w:val="none"/>
    </w:rPr>
  </w:style>
  <w:style w:type="character" w:customStyle="1" w:styleId="28">
    <w:name w:val="font12"/>
    <w:basedOn w:val="8"/>
    <w:qFormat/>
    <w:uiPriority w:val="0"/>
    <w:rPr>
      <w:rFonts w:hint="default" w:ascii="Arial Narrow" w:hAnsi="Arial Narrow" w:eastAsia="Arial Narrow" w:cs="Arial Narrow"/>
      <w:color w:val="000000"/>
      <w:sz w:val="24"/>
      <w:szCs w:val="24"/>
      <w:u w:val="none"/>
    </w:rPr>
  </w:style>
  <w:style w:type="character" w:customStyle="1" w:styleId="29">
    <w:name w:val="font121"/>
    <w:basedOn w:val="8"/>
    <w:qFormat/>
    <w:uiPriority w:val="0"/>
    <w:rPr>
      <w:rFonts w:hint="default" w:ascii="Arial Narrow" w:hAnsi="Arial Narrow" w:eastAsia="Arial Narrow" w:cs="Arial Narrow"/>
      <w:color w:val="000000"/>
      <w:sz w:val="24"/>
      <w:szCs w:val="24"/>
      <w:u w:val="none"/>
    </w:rPr>
  </w:style>
  <w:style w:type="character" w:customStyle="1" w:styleId="30">
    <w:name w:val="font112"/>
    <w:basedOn w:val="8"/>
    <w:qFormat/>
    <w:uiPriority w:val="0"/>
    <w:rPr>
      <w:rFonts w:hint="default" w:ascii="仿宋_GB2312" w:eastAsia="仿宋_GB2312" w:cs="仿宋_GB2312"/>
      <w:color w:val="000000"/>
      <w:sz w:val="24"/>
      <w:szCs w:val="24"/>
      <w:u w:val="none"/>
    </w:rPr>
  </w:style>
  <w:style w:type="character" w:customStyle="1" w:styleId="31">
    <w:name w:val="font01"/>
    <w:basedOn w:val="8"/>
    <w:qFormat/>
    <w:uiPriority w:val="0"/>
    <w:rPr>
      <w:rFonts w:ascii="仿宋_GB2312" w:eastAsia="仿宋_GB2312" w:cs="仿宋_GB2312"/>
      <w:color w:val="000000"/>
      <w:sz w:val="20"/>
      <w:szCs w:val="20"/>
      <w:u w:val="none"/>
    </w:rPr>
  </w:style>
  <w:style w:type="character" w:customStyle="1" w:styleId="32">
    <w:name w:val="标题 1 字符"/>
    <w:basedOn w:val="8"/>
    <w:link w:val="2"/>
    <w:qFormat/>
    <w:uiPriority w:val="0"/>
    <w:rPr>
      <w:rFonts w:ascii="等线" w:hAnsi="等线" w:eastAsia="等线" w:cs="等线"/>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2008</Words>
  <Characters>11448</Characters>
  <Lines>95</Lines>
  <Paragraphs>26</Paragraphs>
  <TotalTime>0</TotalTime>
  <ScaleCrop>false</ScaleCrop>
  <LinksUpToDate>false</LinksUpToDate>
  <CharactersWithSpaces>13430</CharactersWithSpaces>
  <Application>WPS Office_10.8.0.7057_F1E327BC-269C-435d-A152-05C5408002CA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2021-01-13T16:27:00Z</dcterms:created>
  <dc:creator>王黎玲</dc:creator>
  <cp:lastModifiedBy>zxuser</cp:lastModifiedBy>
  <dcterms:modified xsi:type="dcterms:W3CDTF">2021-09-06T15:40:48Z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2052-10.8.0.7057</vt:lpwstr>
  </property>
  <property fmtid="{D5CDD505-2E9C-101B-9397-08002B2CF9AE}" pid="3" name="KSOSaveFontToCloudKey">
    <vt:lpwstr>549997545_btnclosed</vt:lpwstr>
  </property>
  <property fmtid="{D5CDD505-2E9C-101B-9397-08002B2CF9AE}" pid="4" name="ICV">
    <vt:lpwstr>922E3D3BF67843CAA7CA722631646355</vt:lpwstr>
  </property>
</Properties>
</file>